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附件1</w:t>
      </w:r>
      <w:r>
        <w:rPr>
          <w:rFonts w:ascii="仿宋_GB2312" w:hAnsi="仿宋_GB2312" w:eastAsia="仿宋_GB2312" w:cs="仿宋_GB2312"/>
          <w:b/>
          <w:bCs/>
          <w:sz w:val="32"/>
          <w:szCs w:val="40"/>
        </w:rPr>
        <w:t xml:space="preserve"> </w:t>
      </w:r>
    </w:p>
    <w:p>
      <w:pPr>
        <w:jc w:val="center"/>
        <w:rPr>
          <w:rFonts w:ascii="仿宋_GB2312" w:hAnsi="仿宋_GB2312" w:eastAsia="仿宋_GB2312" w:cs="仿宋_GB2312"/>
          <w:b/>
          <w:bCs/>
          <w:sz w:val="32"/>
          <w:szCs w:val="40"/>
        </w:rPr>
      </w:pPr>
      <w:r>
        <w:rPr>
          <w:rFonts w:hint="eastAsia" w:ascii="仿宋_GB2312" w:hAnsi="仿宋_GB2312" w:eastAsia="仿宋_GB2312" w:cs="仿宋_GB2312"/>
          <w:b/>
          <w:bCs/>
          <w:sz w:val="32"/>
          <w:szCs w:val="40"/>
        </w:rPr>
        <w:t>授课专家介绍</w:t>
      </w:r>
    </w:p>
    <w:p>
      <w:pPr>
        <w:jc w:val="center"/>
        <w:rPr>
          <w:rFonts w:ascii="仿宋_GB2312" w:hAnsi="仿宋_GB2312" w:eastAsia="仿宋_GB2312" w:cs="仿宋_GB2312"/>
          <w:sz w:val="32"/>
          <w:szCs w:val="40"/>
        </w:rPr>
      </w:pPr>
      <w:r>
        <w:rPr>
          <w:rFonts w:hint="eastAsia" w:ascii="仿宋_GB2312" w:hAnsi="仿宋_GB2312" w:eastAsia="仿宋_GB2312" w:cs="仿宋_GB2312"/>
          <w:sz w:val="32"/>
          <w:szCs w:val="40"/>
        </w:rPr>
        <w:t>（按姓名首字母排序）</w:t>
      </w:r>
    </w:p>
    <w:p>
      <w:pPr>
        <w:rPr>
          <w:rFonts w:ascii="仿宋" w:hAnsi="仿宋" w:eastAsia="仿宋" w:cs="仿宋"/>
          <w:sz w:val="28"/>
          <w:szCs w:val="36"/>
        </w:rPr>
      </w:pP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柴鹏飞</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副教授。先后就职于华北机电学校、太原理工大学长治学院、上海工商职业技术学院。</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历任教育研究室主任、教务处长、教学质量监督检查处长。曾受聘于全国机械职业教育教学指导委员会，主持《中等职业学校专业教学标准》的编制工作。</w:t>
      </w:r>
    </w:p>
    <w:p>
      <w:pPr>
        <w:rPr>
          <w:rFonts w:ascii="仿宋_GB2312" w:hAnsi="仿宋_GB2312" w:eastAsia="仿宋_GB2312" w:cs="仿宋_GB2312"/>
          <w:sz w:val="28"/>
          <w:szCs w:val="36"/>
        </w:rPr>
      </w:pPr>
      <w:r>
        <w:rPr>
          <w:rFonts w:hint="eastAsia" w:ascii="仿宋_GB2312" w:hAnsi="仿宋_GB2312" w:eastAsia="仿宋_GB2312" w:cs="仿宋_GB2312"/>
          <w:sz w:val="28"/>
          <w:szCs w:val="36"/>
        </w:rPr>
        <w:t xml:space="preserve">    具有37年《机械设计基础》课程讲授经验，在专业建设、课程设计、课程思政、教材资源开发等方面经验丰富。先后主编中、高职层次《机械设计基础》教材、教辅十余册，包括：普通高等教育“十一五”国家级规划教材；中等职业教育课程改革国家规划新教材；全国机械行业职业教育优质教材。</w:t>
      </w: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高倩</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机械工业出版社职业教育分社社长、编审。全国机械行业职业教育教学指导委员会教科研专委会委员。首届全国大中专教材金牌编辑，多次参与“十一五”至“十四五”期间中高职国家规划教材组织及申报工作。参与教育部职教研究中心“职业教育教材质量评价体系研究”“教材管理办法落实调研”“类型教育视野下职业教育数字教材开发研究”等课题研究。</w:t>
      </w: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潘建林</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管理学博士、教授。义乌工商职业技术学院经济管理学院工商企业管理教研室教师，企业管理咨询师，浙江省企业管理研究会理事，浙商研究院兼职研究员，中国商业经济学会理事。</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学术成果及荣誉：主持浙江省课堂教学改革项目1项，主持浙江省新形态教材1部，主持浙江省第三批省级精品在线开放课程1门，主持浙江省职业教育在线精品课1门，主编“十四五”职业教育国家规划教材1部，参编浙江省新形态教材2本，参编各类教材8部以上；主持浙江省哲学社会科学规划等省部级课题3项，出版学术专著1部（浙江大学出版社），在《中国工业经济》等中文一级学术期刊发表学术论文2篇，人大复印资料全文转载1篇，SSCI收录论文3篇，CSSCI收录论文4篇，二级核心期刊论文12篇；金华市321专业技术人才培养工程第二层次培养人员、义乌市133创新人才工程第一层次培养人员；曾获金华市哲学社会科学优秀成果奖二等奖、义乌市社会科学优秀成果奖一等奖等多项荣誉；指导学生多次获浙江省“挑战杯”竞赛、浙江省经济管理案例大赛、浙江省统计调查方案设计大赛等竞赛一等奖。</w:t>
      </w: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申荣卫</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北京理工大学工学博士，天津职业技术师范大学教授，研究生导师，汽车职业教育研究所所长，汽车诊断领域资深工程师，中国汽车工程学会特聘专家，教育部汽车行指委汽车营销专委会委员，教育部硕士学位论文评审专家，《发动机电控系统原理与检修》国家精品课程负责人，《发动机电控技术》天津市一流课程负责人，汽车维修工程教育专业市级一流教学团队负责人。2007年和2008年曾两次赴德国学习基于工作过程的开发方法，2001年澳大利亚Central-Gipps TAFE学院访问学者。</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主要研究方向：汽车职业教育、新能源汽车技术。</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主要研究成果：先后主持省部级课题10余项，横向合作课题50余项，发表学术论文30余篇，主编和参编教材20余部，其中主编国家级十四五规划教材5本。</w:t>
      </w: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盛鸿宇</w:t>
      </w:r>
      <w:r>
        <w:rPr>
          <w:rFonts w:eastAsia="仿宋_GB2312" w:cs="Calibri"/>
          <w:b/>
          <w:bCs/>
          <w:sz w:val="28"/>
          <w:szCs w:val="36"/>
        </w:rPr>
        <w:t> </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北京联合大学机器人学院综合研发创新中心主任，教授，北京联合大学机器人学院综合研发创新中心主任、联合国教科文组织国际职业技术教育与培训联系中心秘书长、中机电协人工智能分会会长、谷歌高职区域联盟特别代表、全国高等院校计算机基础教育研究会高职高专专业委员会常务副会长、秘书长、教育部职业院校信息化教指委课程建设专委会委员、中国计算机学会（CCF）委员。盛教授长期从事高等职业教育研究工作，在专业规范、课程开发等方面研究成果突出。</w:t>
      </w: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吴志亚</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教授、电焊工高级技师、电焊工高级考评员，江苏省无锡交通高等职业技术学校船舶工程学院院长。江苏省“</w:t>
      </w:r>
      <w:r>
        <w:rPr>
          <w:rFonts w:ascii="仿宋_GB2312" w:hAnsi="仿宋_GB2312" w:eastAsia="仿宋_GB2312" w:cs="仿宋_GB2312"/>
          <w:sz w:val="28"/>
          <w:szCs w:val="36"/>
        </w:rPr>
        <w:t>333工程”第三层次培养对象、江苏省交通运输系统100人才、江苏省高校“青蓝工程”优秀青年骨干教师、江苏省交通系统教学名师、江苏交通运输系统优秀教科研团队带头人、江苏省交通运输系统大师工作室负责人。主编国家规划教材3本，多项成果获国家级省级一二三等奖，拥有专利7项。</w:t>
      </w: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徐国庆</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教育学博士，华东师范大学职业教育与成人教育研究所所长、国家职业教育教材建设和管理政策研究基地主任，教授，博士生导师。主要兼职有国家职业教育指导咨询委员会委员，国家教材委员会大中小学德育一体化专家委员会委员，教育部高等学校中等职业学校教师培养教学指导委员会副主任委员，中国职业技术教育学会常务理事、学术委员会委员、副秘书长、课程理论与开发委员会副主任，全国教育专业学位职业技术教育专家工作组成员，教育部“双高计划”项目建设咨询专家委员会委员，上海职业教育协会常务副会长，《华东师范大学学报（教育科学版）》编委等。入选人社部新世纪百千万人才工程国家级人选，教育部新世纪优秀人才支持计划，上海市浦江人才。主持教育部哲学社会科学重大课题攻关项目等多项国家级和省部级科研项目，曾获国家级教学成果一等奖、全国教育科学研究优秀成果奖一等奖、上海市教学成果特等奖等众多教学科研奖励。2015年，被评为中国人文社科最具影响力青年学者。</w:t>
      </w: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朱明松</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六合中等专业学校副校长，正高三级职称。先后获得中国首届职业院校教学名师，江苏省“333”人才，江苏省特级教师，江苏省机电技术名师工作室领衔人，江苏省职业教育教师发展中心组成员，江苏省中职学业水平考试试题研制成员，江苏省机电职业教育行业指导委员会副主任委员，南京市学科带头人，南京市“技术能手”，南京市十佳“双师”型教师等称号，获江苏省优秀教学成果一等奖1次，二等奖1次。先后主持并完成国家级题一项，省级课题四项。主编数十本机电、数控类专业教材，其中六本教材获江苏省“十四五”规划教材，4本教材获“十四五”职业教育国家规划教材。</w:t>
      </w:r>
    </w:p>
    <w:p>
      <w:pPr>
        <w:ind w:firstLine="562" w:firstLineChars="200"/>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朱强</w:t>
      </w:r>
    </w:p>
    <w:p>
      <w:pPr>
        <w:ind w:firstLine="560"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芜湖职业技术学院智能制造学院副院长。毕业于东南大学，工学硕士，德国马格德堡大学访问学者。芜湖市人民政府智库成员，安徽省教育厅、科技厅、经信厅、芜湖市人社局专家库成员，芜湖市机械工程学会常务理事。</w:t>
      </w:r>
      <w:r>
        <w:rPr>
          <w:rFonts w:ascii="仿宋_GB2312" w:hAnsi="仿宋_GB2312" w:eastAsia="仿宋_GB2312" w:cs="仿宋_GB2312"/>
          <w:sz w:val="28"/>
          <w:szCs w:val="36"/>
        </w:rPr>
        <w:t>中华人民共和国第一届职业技能大赛</w:t>
      </w:r>
      <w:r>
        <w:rPr>
          <w:rFonts w:hint="eastAsia" w:ascii="仿宋_GB2312" w:hAnsi="仿宋_GB2312" w:eastAsia="仿宋_GB2312" w:cs="仿宋_GB2312"/>
          <w:sz w:val="28"/>
          <w:szCs w:val="36"/>
        </w:rPr>
        <w:t>裁判，全国职业院校技能大赛裁判。编著十三五职业教育国家规划教材1本，安徽省规划教材2本。</w:t>
      </w:r>
    </w:p>
    <w:p>
      <w:pPr>
        <w:rPr>
          <w:rFonts w:ascii="仿宋_GB2312" w:hAnsi="仿宋_GB2312" w:eastAsia="仿宋_GB2312" w:cs="仿宋_GB2312"/>
          <w:sz w:val="32"/>
          <w:szCs w:val="40"/>
        </w:rPr>
      </w:pPr>
    </w:p>
    <w:p>
      <w:pPr>
        <w:rPr>
          <w:rFonts w:ascii="仿宋_GB2312" w:hAnsi="仿宋_GB2312" w:eastAsia="仿宋_GB2312" w:cs="仿宋_GB2312"/>
          <w:sz w:val="32"/>
          <w:szCs w:val="40"/>
        </w:rPr>
      </w:pPr>
    </w:p>
    <w:p>
      <w:pPr>
        <w:rPr>
          <w:rFonts w:ascii="仿宋_GB2312" w:hAnsi="仿宋_GB2312" w:eastAsia="仿宋_GB2312" w:cs="仿宋_GB2312"/>
          <w:sz w:val="32"/>
          <w:szCs w:val="40"/>
        </w:rPr>
      </w:pPr>
    </w:p>
    <w:p>
      <w:pPr>
        <w:rPr>
          <w:rFonts w:ascii="仿宋_GB2312" w:hAnsi="仿宋_GB2312" w:eastAsia="仿宋_GB2312" w:cs="仿宋_GB2312"/>
          <w:sz w:val="32"/>
          <w:szCs w:val="4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Pr>
        <w:rPr>
          <w:rFonts w:ascii="黑体" w:hAnsi="黑体" w:eastAsia="黑体" w:cs="黑体"/>
          <w:sz w:val="30"/>
          <w:szCs w:val="30"/>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zNjBlYmNiZjBiNmRhODU3ODg4NjZiOGUwMWQxNWEifQ=="/>
  </w:docVars>
  <w:rsids>
    <w:rsidRoot w:val="000659A9"/>
    <w:rsid w:val="000337EB"/>
    <w:rsid w:val="000659A9"/>
    <w:rsid w:val="000C4779"/>
    <w:rsid w:val="0014085D"/>
    <w:rsid w:val="0014411B"/>
    <w:rsid w:val="001E04D4"/>
    <w:rsid w:val="001E4C63"/>
    <w:rsid w:val="00244C49"/>
    <w:rsid w:val="002E6A41"/>
    <w:rsid w:val="00483217"/>
    <w:rsid w:val="004E44A1"/>
    <w:rsid w:val="0053611B"/>
    <w:rsid w:val="005A1059"/>
    <w:rsid w:val="005E6E31"/>
    <w:rsid w:val="006B560A"/>
    <w:rsid w:val="006F7E7A"/>
    <w:rsid w:val="007E3E11"/>
    <w:rsid w:val="00865E06"/>
    <w:rsid w:val="00950670"/>
    <w:rsid w:val="00955480"/>
    <w:rsid w:val="009D6E11"/>
    <w:rsid w:val="00A0181D"/>
    <w:rsid w:val="00A44946"/>
    <w:rsid w:val="00A57E31"/>
    <w:rsid w:val="00A6046C"/>
    <w:rsid w:val="00BA46F5"/>
    <w:rsid w:val="00BD7820"/>
    <w:rsid w:val="00C11035"/>
    <w:rsid w:val="00C30BBC"/>
    <w:rsid w:val="00C70223"/>
    <w:rsid w:val="00D37E3C"/>
    <w:rsid w:val="00E85A9F"/>
    <w:rsid w:val="00E913DD"/>
    <w:rsid w:val="026C6D7F"/>
    <w:rsid w:val="027F6AB2"/>
    <w:rsid w:val="02D54924"/>
    <w:rsid w:val="03004097"/>
    <w:rsid w:val="03093D3F"/>
    <w:rsid w:val="032952DA"/>
    <w:rsid w:val="039B5B6E"/>
    <w:rsid w:val="03E219EE"/>
    <w:rsid w:val="04CC5BC8"/>
    <w:rsid w:val="051931EE"/>
    <w:rsid w:val="056F1060"/>
    <w:rsid w:val="06652463"/>
    <w:rsid w:val="066B642F"/>
    <w:rsid w:val="06B25B88"/>
    <w:rsid w:val="078D3A1F"/>
    <w:rsid w:val="087C489B"/>
    <w:rsid w:val="08C01BD2"/>
    <w:rsid w:val="095347F5"/>
    <w:rsid w:val="098A25EA"/>
    <w:rsid w:val="09E53F89"/>
    <w:rsid w:val="0A500BFD"/>
    <w:rsid w:val="0A685532"/>
    <w:rsid w:val="0A8A693C"/>
    <w:rsid w:val="0A9C7769"/>
    <w:rsid w:val="0AA479FE"/>
    <w:rsid w:val="0B7849E6"/>
    <w:rsid w:val="0CC954FA"/>
    <w:rsid w:val="0D0429D6"/>
    <w:rsid w:val="0D227DD4"/>
    <w:rsid w:val="0DEF0A04"/>
    <w:rsid w:val="0DF465A6"/>
    <w:rsid w:val="0E590905"/>
    <w:rsid w:val="0ED939EE"/>
    <w:rsid w:val="0FD65F4A"/>
    <w:rsid w:val="1167788F"/>
    <w:rsid w:val="1232769D"/>
    <w:rsid w:val="1273156B"/>
    <w:rsid w:val="12C63B97"/>
    <w:rsid w:val="12D76496"/>
    <w:rsid w:val="130E0446"/>
    <w:rsid w:val="136F4921"/>
    <w:rsid w:val="13C95DDF"/>
    <w:rsid w:val="14E135FC"/>
    <w:rsid w:val="156C55BC"/>
    <w:rsid w:val="161751E9"/>
    <w:rsid w:val="167F185F"/>
    <w:rsid w:val="167F4E7B"/>
    <w:rsid w:val="16975463"/>
    <w:rsid w:val="17CC0594"/>
    <w:rsid w:val="195E521C"/>
    <w:rsid w:val="1A352420"/>
    <w:rsid w:val="1AA030C7"/>
    <w:rsid w:val="1BB13D28"/>
    <w:rsid w:val="1C4E6002"/>
    <w:rsid w:val="1CEE7AC3"/>
    <w:rsid w:val="1D291832"/>
    <w:rsid w:val="1D567B59"/>
    <w:rsid w:val="1D835251"/>
    <w:rsid w:val="1DA25784"/>
    <w:rsid w:val="1DCB35D3"/>
    <w:rsid w:val="1DF3687A"/>
    <w:rsid w:val="1E0D5462"/>
    <w:rsid w:val="1E706943"/>
    <w:rsid w:val="1EB37DB8"/>
    <w:rsid w:val="1F3A5DE3"/>
    <w:rsid w:val="1F533349"/>
    <w:rsid w:val="1F9F20EA"/>
    <w:rsid w:val="1FE30229"/>
    <w:rsid w:val="21262AC3"/>
    <w:rsid w:val="216D72B0"/>
    <w:rsid w:val="21DF2C72"/>
    <w:rsid w:val="22A3242E"/>
    <w:rsid w:val="23076924"/>
    <w:rsid w:val="23607DE2"/>
    <w:rsid w:val="245060A9"/>
    <w:rsid w:val="2452597D"/>
    <w:rsid w:val="248144B4"/>
    <w:rsid w:val="25644FE8"/>
    <w:rsid w:val="26711DE7"/>
    <w:rsid w:val="26D22DA5"/>
    <w:rsid w:val="292D0766"/>
    <w:rsid w:val="2B715282"/>
    <w:rsid w:val="2C6941AB"/>
    <w:rsid w:val="2C8903AA"/>
    <w:rsid w:val="2C8B4122"/>
    <w:rsid w:val="2D8C63A3"/>
    <w:rsid w:val="2F1A40A4"/>
    <w:rsid w:val="30085A89"/>
    <w:rsid w:val="30122159"/>
    <w:rsid w:val="30311E15"/>
    <w:rsid w:val="30B14326"/>
    <w:rsid w:val="32537490"/>
    <w:rsid w:val="32C1089D"/>
    <w:rsid w:val="33522074"/>
    <w:rsid w:val="335E433E"/>
    <w:rsid w:val="340A0022"/>
    <w:rsid w:val="34497B2C"/>
    <w:rsid w:val="344A2C7E"/>
    <w:rsid w:val="34F53529"/>
    <w:rsid w:val="35337105"/>
    <w:rsid w:val="35727C2D"/>
    <w:rsid w:val="35904557"/>
    <w:rsid w:val="35B37A91"/>
    <w:rsid w:val="35D1164F"/>
    <w:rsid w:val="35FC72B1"/>
    <w:rsid w:val="370A0339"/>
    <w:rsid w:val="37EB1F18"/>
    <w:rsid w:val="386B4E07"/>
    <w:rsid w:val="38BB5D8F"/>
    <w:rsid w:val="390D6210"/>
    <w:rsid w:val="3BDA652C"/>
    <w:rsid w:val="3BE92C13"/>
    <w:rsid w:val="3BEC625F"/>
    <w:rsid w:val="3C473BB8"/>
    <w:rsid w:val="3C964B49"/>
    <w:rsid w:val="3CEF24AB"/>
    <w:rsid w:val="3D211F38"/>
    <w:rsid w:val="3E726EF0"/>
    <w:rsid w:val="419B675D"/>
    <w:rsid w:val="421A6FEE"/>
    <w:rsid w:val="425F1B86"/>
    <w:rsid w:val="4290203A"/>
    <w:rsid w:val="433C5D1E"/>
    <w:rsid w:val="43F62371"/>
    <w:rsid w:val="44314721"/>
    <w:rsid w:val="4447497A"/>
    <w:rsid w:val="4517259F"/>
    <w:rsid w:val="452D0139"/>
    <w:rsid w:val="45E5444B"/>
    <w:rsid w:val="45FD1D73"/>
    <w:rsid w:val="464F5D68"/>
    <w:rsid w:val="47F46BC7"/>
    <w:rsid w:val="4893018E"/>
    <w:rsid w:val="4ABC2C93"/>
    <w:rsid w:val="4B6C2BC3"/>
    <w:rsid w:val="4C183499"/>
    <w:rsid w:val="4C6A38FC"/>
    <w:rsid w:val="4CB23D5B"/>
    <w:rsid w:val="4D01600E"/>
    <w:rsid w:val="4E727AC7"/>
    <w:rsid w:val="4ECC6BFA"/>
    <w:rsid w:val="4ED74B7E"/>
    <w:rsid w:val="4EF676C9"/>
    <w:rsid w:val="4F6E6761"/>
    <w:rsid w:val="4FB07878"/>
    <w:rsid w:val="520C1CD5"/>
    <w:rsid w:val="528639B3"/>
    <w:rsid w:val="54DC2733"/>
    <w:rsid w:val="555E38D2"/>
    <w:rsid w:val="56352885"/>
    <w:rsid w:val="57A43D49"/>
    <w:rsid w:val="58022C3B"/>
    <w:rsid w:val="58242BB1"/>
    <w:rsid w:val="58F033DB"/>
    <w:rsid w:val="5905624D"/>
    <w:rsid w:val="59A12AC1"/>
    <w:rsid w:val="59B14918"/>
    <w:rsid w:val="59D133EE"/>
    <w:rsid w:val="5A70032F"/>
    <w:rsid w:val="5A9A35FE"/>
    <w:rsid w:val="5AF947C9"/>
    <w:rsid w:val="5BBB61CC"/>
    <w:rsid w:val="5C4A2E02"/>
    <w:rsid w:val="5CC606DB"/>
    <w:rsid w:val="5D3F66DF"/>
    <w:rsid w:val="5D807EC9"/>
    <w:rsid w:val="5DAC3A82"/>
    <w:rsid w:val="5DAD3649"/>
    <w:rsid w:val="5DF272AD"/>
    <w:rsid w:val="5E112F6F"/>
    <w:rsid w:val="5E6109AF"/>
    <w:rsid w:val="5EA53C58"/>
    <w:rsid w:val="5EF472D9"/>
    <w:rsid w:val="5F4B3119"/>
    <w:rsid w:val="62CA25A7"/>
    <w:rsid w:val="63786076"/>
    <w:rsid w:val="641F6922"/>
    <w:rsid w:val="64F34037"/>
    <w:rsid w:val="65F22540"/>
    <w:rsid w:val="66A355E9"/>
    <w:rsid w:val="683706DE"/>
    <w:rsid w:val="685A617B"/>
    <w:rsid w:val="6861575B"/>
    <w:rsid w:val="6865617D"/>
    <w:rsid w:val="68F14C3B"/>
    <w:rsid w:val="6A114F5F"/>
    <w:rsid w:val="6A116D0D"/>
    <w:rsid w:val="6A331891"/>
    <w:rsid w:val="6A462E5B"/>
    <w:rsid w:val="6AF67E86"/>
    <w:rsid w:val="6B655B6D"/>
    <w:rsid w:val="6B822D25"/>
    <w:rsid w:val="6BCC55E2"/>
    <w:rsid w:val="6C10630C"/>
    <w:rsid w:val="6CB247D7"/>
    <w:rsid w:val="6D995713"/>
    <w:rsid w:val="6DA46816"/>
    <w:rsid w:val="6EA42846"/>
    <w:rsid w:val="6F23376B"/>
    <w:rsid w:val="6F6749C8"/>
    <w:rsid w:val="6FF4457F"/>
    <w:rsid w:val="7075449A"/>
    <w:rsid w:val="70AC3E26"/>
    <w:rsid w:val="710D46D2"/>
    <w:rsid w:val="71693DD4"/>
    <w:rsid w:val="729113FE"/>
    <w:rsid w:val="72AE77EF"/>
    <w:rsid w:val="72EC6569"/>
    <w:rsid w:val="735F6D3B"/>
    <w:rsid w:val="737F73DD"/>
    <w:rsid w:val="73837AD4"/>
    <w:rsid w:val="743326A2"/>
    <w:rsid w:val="744E4DF4"/>
    <w:rsid w:val="746B7053"/>
    <w:rsid w:val="747C59C0"/>
    <w:rsid w:val="753A4D64"/>
    <w:rsid w:val="76206C56"/>
    <w:rsid w:val="76373F9F"/>
    <w:rsid w:val="768E1E11"/>
    <w:rsid w:val="76AE6010"/>
    <w:rsid w:val="771F0CBB"/>
    <w:rsid w:val="778C15DF"/>
    <w:rsid w:val="781400F4"/>
    <w:rsid w:val="782347DB"/>
    <w:rsid w:val="78782D79"/>
    <w:rsid w:val="79CD2C51"/>
    <w:rsid w:val="7A173ECC"/>
    <w:rsid w:val="7B0A25F6"/>
    <w:rsid w:val="7BA23C69"/>
    <w:rsid w:val="7CAB4D9F"/>
    <w:rsid w:val="7DDA3B8E"/>
    <w:rsid w:val="7E6E2528"/>
    <w:rsid w:val="7E9068FC"/>
    <w:rsid w:val="7EF43223"/>
    <w:rsid w:val="7F2E6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 w:type="character" w:customStyle="1" w:styleId="8">
    <w:name w:val="页眉 字符"/>
    <w:basedOn w:val="6"/>
    <w:link w:val="3"/>
    <w:autoRedefine/>
    <w:qFormat/>
    <w:uiPriority w:val="0"/>
    <w:rPr>
      <w:rFonts w:asciiTheme="minorHAnsi" w:hAnsiTheme="minorHAnsi" w:eastAsiaTheme="minorEastAsia" w:cstheme="minorBidi"/>
      <w:kern w:val="2"/>
      <w:sz w:val="18"/>
      <w:szCs w:val="18"/>
    </w:rPr>
  </w:style>
  <w:style w:type="character" w:customStyle="1" w:styleId="9">
    <w:name w:val="页脚 字符"/>
    <w:basedOn w:val="6"/>
    <w:link w:val="2"/>
    <w:autoRedefine/>
    <w:qFormat/>
    <w:uiPriority w:val="0"/>
    <w:rPr>
      <w:rFonts w:asciiTheme="minorHAnsi" w:hAnsiTheme="minorHAnsi" w:eastAsiaTheme="minorEastAsia" w:cstheme="minorBidi"/>
      <w:kern w:val="2"/>
      <w:sz w:val="18"/>
      <w:szCs w:val="18"/>
    </w:rPr>
  </w:style>
  <w:style w:type="paragraph" w:customStyle="1" w:styleId="10">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0D2E-FB12-4AEE-8CD4-4ECD89B85CAC}">
  <ds:schemaRefs/>
</ds:datastoreItem>
</file>

<file path=docProps/app.xml><?xml version="1.0" encoding="utf-8"?>
<Properties xmlns="http://schemas.openxmlformats.org/officeDocument/2006/extended-properties" xmlns:vt="http://schemas.openxmlformats.org/officeDocument/2006/docPropsVTypes">
  <Template>Normal</Template>
  <Pages>12</Pages>
  <Words>737</Words>
  <Characters>4207</Characters>
  <Lines>35</Lines>
  <Paragraphs>9</Paragraphs>
  <TotalTime>26</TotalTime>
  <ScaleCrop>false</ScaleCrop>
  <LinksUpToDate>false</LinksUpToDate>
  <CharactersWithSpaces>4935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2024-03-11T07:19:00Z</dcterms:created>
  <dc:creator>胡</dc:creator>
  <cp:lastModifiedBy>校联会秘书处</cp:lastModifiedBy>
  <cp:lastPrinted>2024-03-12T07:22:00Z</cp:lastPrinted>
  <dcterms:modified xsi:type="dcterms:W3CDTF">2024-03-15T01:08:39Z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DC867F8AA53041A6B4F07B16B30D7E4E_13</vt:lpwstr>
  </property>
</Properties>
</file>