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</w:p>
    <w:p>
      <w:pPr>
        <w:spacing w:line="240" w:lineRule="auto"/>
        <w:rPr>
          <w:b/>
        </w:rPr>
      </w:pPr>
      <w:r>
        <w:rPr>
          <w:rFonts w:hint="eastAsia"/>
          <w:b/>
        </w:rPr>
        <w:t>附件1：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2022</w:t>
      </w:r>
      <w:r>
        <w:rPr>
          <w:rFonts w:hint="eastAsia"/>
          <w:b/>
        </w:rPr>
        <w:t>年华为数字机器人工坊立项建设名单</w:t>
      </w:r>
    </w:p>
    <w:tbl>
      <w:tblPr>
        <w:tblStyle w:val="8"/>
        <w:tblW w:w="7520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22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序号</w:t>
            </w: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napToGrid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000000"/>
              </w:rPr>
              <w:t>立项单位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napToGrid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00000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安徽工业经济职业技术学院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胡成科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北京财贸职业学院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孙刚凝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北京信息职业技术学院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刘红岩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福建信息职业技术学院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张晓敏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广东科贸职业学院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彭晓红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广东科学技术职业学院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李威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广东水利电力职业技术学院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杨小英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广东职业技术学院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杨伟明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广州东华职业学院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欧阳国军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广州番禺职业技术学院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盛国穗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广州华立科技职业学院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杨素芹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贵州财经职业学院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张鑫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河北工业职业技术大学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郝海霞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河北软件职业技术学院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刘义龙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河南经贸职业学院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侯小坤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河南职业技术学院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李纪云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黑龙江交通职业技术学院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田红玉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湖北工业职业技术学院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张道珍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黄冈科技职业学院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严甘婷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江苏财会职业学院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刘儒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江苏信息职业技术学院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平震宇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江西财经职业学院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万凯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莱芜职业技术学院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王学周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辽宁轻工职业学院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焦战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聊城职业技术学院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范保兴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柳州铁道职业技术学院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李筱林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柳州职业技术学院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蒙飚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南京工业职业技术大学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张锦辉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宁夏财经职业技术学院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吴晓莉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青岛酒店管理职业技术学院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刘进涛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厦门海洋职业技术学院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林少聪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山东商业职业技术学院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陕西财经职业技术学院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常茹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陕西工业职业技术学院</w:t>
            </w:r>
            <w:bookmarkStart w:id="1" w:name="_GoBack"/>
            <w:bookmarkEnd w:id="1"/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袁辉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上海电子信息职业技术学院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胡国胜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深圳信息职业技术学院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罗卿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石家庄邮电职业技术学院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谷斌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四川交通职业技术学院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杨甲奇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四川信息职业技术学院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刘星余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苏州信息职业技术学院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于大为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天津海运职业学院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徐黎明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天津现代职业技术学院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杨美霞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温州职业技术学院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戴瑞红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无锡城市职业技术学院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任靖福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无锡商业职业技术学院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吴建军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无锡职业技术学院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黄翀鹏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芜湖职业技术学院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武汉城市职业学院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成静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武汉软件工程职业学院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宋焱宏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武汉职业技术学院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陈觎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西安航空职业技术学院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姚锋刚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新疆交通职业技术学院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徐丽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新疆农业职业技术学院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杨功元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许昌职业技术学院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王永乐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长沙民政职业技术学院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金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浙江安防职业技术学院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郑温瑞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浙江工业职业技术学院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魏标文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浙江金融职业学院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王忠孝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浙江经济职业技术学院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浙江同济科技职业学院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胡晓锋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郑州信息科技职业学院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田俊敏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重庆工业职业技术学院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金渝林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遵义职业技术学院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cs="宋体"/>
                <w:snapToGrid/>
                <w:color w:val="000000"/>
              </w:rPr>
            </w:pPr>
            <w:r>
              <w:rPr>
                <w:rFonts w:hint="eastAsia" w:ascii="宋体" w:hAnsi="宋体" w:cs="宋体"/>
                <w:snapToGrid/>
                <w:color w:val="000000"/>
              </w:rPr>
              <w:t>赵景媛</w:t>
            </w:r>
          </w:p>
        </w:tc>
      </w:tr>
    </w:tbl>
    <w:p>
      <w:pPr>
        <w:spacing w:line="240" w:lineRule="auto"/>
      </w:pPr>
    </w:p>
    <w:p>
      <w:pPr>
        <w:spacing w:line="240" w:lineRule="auto"/>
        <w:rPr>
          <w:b/>
        </w:rPr>
      </w:pPr>
      <w:bookmarkStart w:id="0" w:name="_Hlk106718918"/>
      <w:r>
        <w:rPr>
          <w:rFonts w:hint="eastAsia"/>
          <w:b/>
        </w:rPr>
        <w:t xml:space="preserve">附件2： </w:t>
      </w:r>
      <w:r>
        <w:rPr>
          <w:b/>
        </w:rPr>
        <w:t xml:space="preserve">              </w:t>
      </w:r>
      <w:r>
        <w:rPr>
          <w:rFonts w:hint="eastAsia"/>
          <w:b/>
        </w:rPr>
        <w:t>2022年华为数字机器人课程建设项目立项建设名单</w:t>
      </w:r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340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立项单位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北京电子科技职业学院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Python机器学习+RPA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于京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北京联合大学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Python+AI+RPA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盛鸿宇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福建信息职业技术学院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RPA+AI数字校园机器人应用与开发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程智宾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广东科学技术职业学院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"华为RPA技术与应用"课程建设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李威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广州番禺职业技术学院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华为数字机器人课程建设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盛国穗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陕西财经职业技术学院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《RPA财务数据分析》课程与资源建设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常茹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陕西工业职业技术学院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《RPA 设计与开发》课程建设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袁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上海电子信息职业技术学院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数字机器人应用开发教程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胡国胜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深圳信息职业技术学院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产业学院共建格局下的 RPA 财务机器人课程建设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闫佳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深圳职业技术学院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大学计算机基础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王铮钧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四川交通职业技术学院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华为数字机器人在道桥检测行业中的应用——以回弹法为例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蒋永林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武汉软件工程职业学院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基于校企共建、课证融通的《 RPA 财务机器人开发与应用》课程建设方案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黄海轮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武汉职业技术学院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RPA 财务机器人开发与应用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孟凡中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新疆农业职业技术学院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华为数字机器人课程建设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杨功元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长沙民政职业技术学院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 xml:space="preserve">RPA+AI 在民政事务工作中的应用 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邓文达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16</w:t>
            </w:r>
          </w:p>
        </w:tc>
        <w:tc>
          <w:tcPr>
            <w:tcW w:w="2835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重庆工业职业技术学院</w:t>
            </w:r>
          </w:p>
        </w:tc>
        <w:tc>
          <w:tcPr>
            <w:tcW w:w="3402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RPA财务机器人开发与应用</w:t>
            </w:r>
          </w:p>
        </w:tc>
        <w:tc>
          <w:tcPr>
            <w:tcW w:w="1355" w:type="dxa"/>
            <w:noWrap/>
          </w:tcPr>
          <w:p>
            <w:pPr>
              <w:spacing w:line="240" w:lineRule="auto"/>
            </w:pPr>
            <w:r>
              <w:rPr>
                <w:rFonts w:hint="eastAsia"/>
              </w:rPr>
              <w:t>金渝林</w:t>
            </w:r>
          </w:p>
        </w:tc>
      </w:tr>
    </w:tbl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3</w:t>
      </w:r>
      <w:r>
        <w:rPr>
          <w:rFonts w:hint="eastAsia"/>
          <w:b/>
        </w:rPr>
        <w:t xml:space="preserve">： </w:t>
      </w:r>
      <w:r>
        <w:rPr>
          <w:b/>
        </w:rPr>
        <w:t xml:space="preserve">          </w:t>
      </w:r>
      <w:r>
        <w:rPr>
          <w:rFonts w:hint="eastAsia"/>
          <w:b/>
        </w:rPr>
        <w:t>2022年华为数字机器人师资培训项目立项建设名单</w:t>
      </w:r>
    </w:p>
    <w:tbl>
      <w:tblPr>
        <w:tblStyle w:val="8"/>
        <w:tblW w:w="72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394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b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napToGrid/>
                <w:sz w:val="22"/>
                <w:szCs w:val="22"/>
              </w:rPr>
              <w:t>序号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sz w:val="22"/>
                <w:szCs w:val="22"/>
              </w:rPr>
              <w:t>立项单位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sz w:val="22"/>
                <w:szCs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北京电子科技职业学院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胡亦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广东科学技术职业学院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谢文达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广州番禺职业技术学院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盛国穗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河南职业技术学院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李纪云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sz w:val="22"/>
                <w:szCs w:val="22"/>
              </w:rPr>
              <w:t>黄冈科技职业学院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sz w:val="22"/>
                <w:szCs w:val="22"/>
              </w:rPr>
              <w:t>严甘婷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江苏商贸职业学院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贲志红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深圳信息职业技术学院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 xml:space="preserve">  闫佳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ascii="宋体" w:hAnsi="宋体" w:cs="宋体"/>
                <w:snapToGrid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山东工程职业技术大学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毕春晖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ascii="宋体" w:hAnsi="宋体" w:cs="宋体"/>
                <w:snapToGrid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ascii="宋体" w:hAnsi="宋体" w:cs="宋体"/>
                <w:snapToGrid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陕西财经职业技术学院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常茹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napToGrid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陕西工业职业技术学院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袁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napToGrid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上海电子信息职业技术学院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朱咏梅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napToGrid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四川信息职业技术学院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黄军友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napToGrid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台州科技职业学院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麻育胜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napToGrid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天津城市职业学院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于利东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napToGrid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天津现代职业技术学院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杨美霞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napToGrid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武汉软件工程职业学院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黄海轮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ascii="宋体" w:hAnsi="宋体" w:cs="宋体"/>
                <w:snapToGrid/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武汉职业技术学院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高源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napToGrid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sz w:val="22"/>
                <w:szCs w:val="22"/>
              </w:rPr>
              <w:t>新疆农业职业技术学院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sz w:val="22"/>
                <w:szCs w:val="22"/>
              </w:rPr>
              <w:t>杨功元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ascii="宋体" w:hAnsi="宋体" w:cs="宋体"/>
                <w:snapToGrid/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sz w:val="22"/>
                <w:szCs w:val="22"/>
              </w:rPr>
              <w:t>长沙民政职业技术学院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sz w:val="22"/>
                <w:szCs w:val="22"/>
              </w:rPr>
              <w:t>邓 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napToGrid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sz w:val="22"/>
                <w:szCs w:val="22"/>
              </w:rPr>
              <w:t>重庆工业职业技术学院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/>
                <w:color w:val="000000"/>
                <w:sz w:val="22"/>
                <w:szCs w:val="22"/>
              </w:rPr>
              <w:t>金渝林</w:t>
            </w:r>
          </w:p>
        </w:tc>
      </w:tr>
    </w:tbl>
    <w:p>
      <w:pPr>
        <w:spacing w:line="240" w:lineRule="auto"/>
        <w:jc w:val="center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6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t>2022-6-22</w:t>
          </w:r>
          <w:r>
            <w:fldChar w:fldCharType="end"/>
          </w:r>
        </w:p>
      </w:tc>
      <w:tc>
        <w:tcPr>
          <w:tcW w:w="1714" w:type="pct"/>
        </w:tcPr>
        <w:p>
          <w:pPr>
            <w:pStyle w:val="6"/>
          </w:pPr>
        </w:p>
      </w:tc>
      <w:tc>
        <w:tcPr>
          <w:tcW w:w="1526" w:type="pct"/>
        </w:tcPr>
        <w:p>
          <w:pPr>
            <w:pStyle w:val="6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pStyle w:val="17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pStyle w:val="13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hZDhjNjZhNDExNjczNmJjZWRjNzk4NWUwYTQ1ZTUifQ=="/>
  </w:docVars>
  <w:rsids>
    <w:rsidRoot w:val="005F7443"/>
    <w:rsid w:val="00132112"/>
    <w:rsid w:val="002747B4"/>
    <w:rsid w:val="002C4E61"/>
    <w:rsid w:val="005F7443"/>
    <w:rsid w:val="00713F9D"/>
    <w:rsid w:val="007D7737"/>
    <w:rsid w:val="00840EDA"/>
    <w:rsid w:val="009E5329"/>
    <w:rsid w:val="00C97095"/>
    <w:rsid w:val="00CF1105"/>
    <w:rsid w:val="00ED3383"/>
    <w:rsid w:val="00FD15AA"/>
    <w:rsid w:val="1AC14612"/>
    <w:rsid w:val="2FDD0D37"/>
    <w:rsid w:val="32C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9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4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6">
    <w:name w:val="表样式"/>
    <w:basedOn w:val="8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7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19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0">
    <w:name w:val="正文（首行不缩进）"/>
    <w:basedOn w:val="1"/>
    <w:qFormat/>
    <w:uiPriority w:val="0"/>
  </w:style>
  <w:style w:type="paragraph" w:customStyle="1" w:styleId="21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2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3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4">
    <w:name w:val="样式一"/>
    <w:basedOn w:val="10"/>
    <w:uiPriority w:val="0"/>
    <w:rPr>
      <w:rFonts w:ascii="宋体" w:hAnsi="宋体"/>
      <w:b/>
      <w:bCs/>
      <w:color w:val="000000"/>
      <w:sz w:val="36"/>
    </w:rPr>
  </w:style>
  <w:style w:type="character" w:customStyle="1" w:styleId="25">
    <w:name w:val="样式二"/>
    <w:basedOn w:val="24"/>
    <w:qFormat/>
    <w:uiPriority w:val="0"/>
    <w:rPr>
      <w:rFonts w:ascii="宋体" w:hAnsi="宋体"/>
      <w:color w:val="000000"/>
      <w:sz w:val="36"/>
    </w:rPr>
  </w:style>
  <w:style w:type="character" w:customStyle="1" w:styleId="26">
    <w:name w:val="批注框文本 字符"/>
    <w:basedOn w:val="10"/>
    <w:link w:val="5"/>
    <w:uiPriority w:val="0"/>
    <w:rPr>
      <w:snapToGrid w:val="0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未处理的提及1"/>
    <w:basedOn w:val="10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CD63-5BF2-4C5D-BE21-EF81D54FB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3</Pages>
  <Words>1631</Words>
  <Characters>1757</Characters>
  <Lines>15</Lines>
  <Paragraphs>4</Paragraphs>
  <TotalTime>0</TotalTime>
  <ScaleCrop>false</ScaleCrop>
  <LinksUpToDate>false</LinksUpToDate>
  <CharactersWithSpaces>1802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2022-06-21T23:41:00Z</dcterms:created>
  <dc:creator>hanjiang</dc:creator>
  <cp:lastModifiedBy>校联会秘书处</cp:lastModifiedBy>
  <dcterms:modified xsi:type="dcterms:W3CDTF">2022-06-22T13:47:15Z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 t001mFnCvLMaA7NtV7uI2VC2fwALyxkAC4/wcWz8V8s9ISVz/CfAoSvyQ6nyxiczypx3WN6k iUnWGkbT1bSwB2DSRd3f7wzNpVKyHhElmeFgXpfDEloNrXj6fpuVTbsm6RDJMi1f464iyj1z 614PzAImBcWE/WjDWN/y5</vt:lpwstr>
  </property>
  <property fmtid="{D5CDD505-2E9C-101B-9397-08002B2CF9AE}" pid="3" name="_ms_pID_7253431">
    <vt:lpwstr>TFYekd/MoOcdAUKhpiH6kdybFPk4me52k75asY0n+2Om+X60aHu K7gzsUkkPd9EvzrGt8Nhbs+5OzH324OV3/Zv0Wk1s77ymyBS/g1FukTABfllXSMe4+HG/L89 tp8NHHTwaIzm28DBBkVmVmdL09ekEMV+QrS/Rie/ICaA+cc5fNaNjUKJZ6+1wXS2SQEOKjC6 b8HqMKW55JFIbIK2N1piaa3K9ae25MbT1AEQED9QlN</vt:lpwstr>
  </property>
  <property fmtid="{D5CDD505-2E9C-101B-9397-08002B2CF9AE}" pid="4" name="_ms_pID_7253432">
    <vt:lpwstr>E7FqxOADAUq80etHyPBA3ELTZhFDR2 wVj3LzUVhy7LOuwI9uxMSkbk8k5daWHKRVM2jPOoZ88TOOJpho94OU041q2lK6RN9bR9XAb5 mvsbzvyK7y9aTwrRm9Y9jeP/2MGeGsd46jyP7DuLztgB1VmvC8i6MYko5SiXTLeJvJ8l6Chj pwgTqVKI/iPWcTv5Z3EUyitJA9voTAle06Fnasq695DEfPit2GNQApOppq1hRmF</vt:lpwstr>
  </property>
  <property fmtid="{D5CDD505-2E9C-101B-9397-08002B2CF9AE}" pid="5" name="_ms_pID_7253433">
    <vt:lpwstr>XOJNPY2kx 4xqimhk3tS32I2ubWObO207x2MvGmI15qfOjJqw4zxHSDgtN</vt:lpwstr>
  </property>
  <property fmtid="{D5CDD505-2E9C-101B-9397-08002B2CF9AE}" pid="6" name="_2015_ms_pID_725343">
    <vt:lpwstr>(3)JUxVDDpKz4gTrtn/sJdTq/EMMAisnJGNOy11WYjYmHqfFZQ2ZVxX6lUToOv+Qy/TcC6xkoDq nepW7j++y5v18B9HQCydTQD6by89w+Dp+s36zMGP07RK7ud9jMxPPvTJTJztYMNB1ncVBH7h TcmdqrCID+mEIsJT8dzgyEH3fDSyGONibWJbrMakvaW353RpZjyJl39GkFGkIItJHqcN7Y1X Ax0uDFTyTZeYtI9ghs</vt:lpwstr>
  </property>
  <property fmtid="{D5CDD505-2E9C-101B-9397-08002B2CF9AE}" pid="7" name="_2015_ms_pID_7253431">
    <vt:lpwstr>7to9S+0KpOLiIMdp89q6zxZB4XvkgbHgP4xBglfOpPEyb+xG2p/0Gd iICw7wmn0MmORom13cGG1veydNfoNzxSO/CAGgzkYC7sGaHDoZWgU5OqlqyJtKsmjtLqssxC 0ssxZaJfmC/EIbmC3x+ugo/E0E935I5TU/H8lc+yJd8TBZtHWwGoltZJECY04mBFRaupqimK 2eB0PwQNF+h4HrdBMMOa0R0C4iLWwBTvQuzh</vt:lpwstr>
  </property>
  <property fmtid="{D5CDD505-2E9C-101B-9397-08002B2CF9AE}" pid="8" name="_2015_ms_pID_7253432">
    <vt:lpwstr>Pg==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  <property fmtid="{D5CDD505-2E9C-101B-9397-08002B2CF9AE}" pid="13" name="ICV">
    <vt:lpwstr>55F3F9BC898347FDBCF2DBDE2F784775</vt:lpwstr>
  </property>
  <property fmtid="{D5CDD505-2E9C-101B-9397-08002B2CF9AE}" pid="14" name="KSOProductBuildVer">
    <vt:lpwstr>2052-11.1.0.11797</vt:lpwstr>
  </property>
</Properties>
</file>