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B1" w:rsidRDefault="00DB20B1" w:rsidP="00DB20B1">
      <w:pPr>
        <w:widowControl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附件2</w:t>
      </w:r>
    </w:p>
    <w:p w:rsidR="00DB20B1" w:rsidRDefault="00DB20B1" w:rsidP="00DB20B1">
      <w:pPr>
        <w:snapToGrid w:val="0"/>
        <w:spacing w:line="580" w:lineRule="exact"/>
        <w:jc w:val="center"/>
        <w:rPr>
          <w:rFonts w:ascii="黑体" w:eastAsia="黑体" w:hAnsi="黑体" w:hint="eastAsia"/>
          <w:spacing w:val="-4"/>
          <w:sz w:val="32"/>
          <w:szCs w:val="32"/>
        </w:rPr>
      </w:pPr>
    </w:p>
    <w:p w:rsidR="00DB20B1" w:rsidRDefault="00DB20B1" w:rsidP="00DB20B1">
      <w:pPr>
        <w:snapToGrid w:val="0"/>
        <w:spacing w:line="580" w:lineRule="exact"/>
        <w:jc w:val="center"/>
        <w:rPr>
          <w:rFonts w:ascii="方正小标宋简体" w:eastAsia="方正小标宋简体" w:hAnsi="黑体" w:hint="eastAsia"/>
          <w:spacing w:val="-4"/>
          <w:sz w:val="44"/>
          <w:szCs w:val="44"/>
        </w:rPr>
      </w:pPr>
      <w:r>
        <w:rPr>
          <w:rFonts w:ascii="方正小标宋简体" w:eastAsia="方正小标宋简体" w:hAnsi="黑体" w:hint="eastAsia"/>
          <w:spacing w:val="-4"/>
          <w:sz w:val="44"/>
          <w:szCs w:val="44"/>
        </w:rPr>
        <w:t>山东省高水平中等职业学校建设方案</w:t>
      </w:r>
    </w:p>
    <w:p w:rsidR="00DB20B1" w:rsidRDefault="00DB20B1" w:rsidP="00DB20B1">
      <w:pPr>
        <w:snapToGrid w:val="0"/>
        <w:spacing w:line="580" w:lineRule="exact"/>
        <w:jc w:val="center"/>
        <w:rPr>
          <w:rFonts w:ascii="方正小标宋简体" w:eastAsia="方正小标宋简体" w:hAnsi="黑体" w:hint="eastAsia"/>
          <w:spacing w:val="-4"/>
          <w:sz w:val="44"/>
          <w:szCs w:val="44"/>
        </w:rPr>
      </w:pPr>
      <w:r>
        <w:rPr>
          <w:rFonts w:ascii="方正小标宋简体" w:eastAsia="方正小标宋简体" w:hAnsi="黑体" w:hint="eastAsia"/>
          <w:spacing w:val="-4"/>
          <w:sz w:val="44"/>
          <w:szCs w:val="44"/>
        </w:rPr>
        <w:t>编写说明</w:t>
      </w:r>
    </w:p>
    <w:p w:rsidR="00DB20B1" w:rsidRDefault="00DB20B1" w:rsidP="00DB20B1">
      <w:pPr>
        <w:snapToGrid w:val="0"/>
        <w:spacing w:line="580" w:lineRule="exact"/>
        <w:jc w:val="left"/>
        <w:rPr>
          <w:rFonts w:ascii="黑体" w:eastAsia="黑体" w:hAnsi="黑体" w:hint="eastAsia"/>
          <w:spacing w:val="-4"/>
          <w:sz w:val="32"/>
          <w:szCs w:val="32"/>
        </w:rPr>
      </w:pP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bCs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一、建设基础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Ansi="Calibri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人才培养条件（基本办学条件、师资队伍、实践教学条件等），人才培养质量，办学优势与特色，机遇与挑战等。</w:t>
      </w: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二、建设目标与思路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Ansi="Calibri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在学校既有建设基础上，认真研究近年来国家和我省职业教育改革发展相关文件要求，明确高水平中等职业学校建设的关键问题和建设的重点领域，确定建设总体目标和发展思路。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建设目标应包括一批标志性成果，原则上不少于15项国家级标志性成果、20项省级标志性成果。</w:t>
      </w: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三、建设内容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Ansi="Calibri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（一）加强党的建设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（二）落实立德树人根本任务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（三）强化专业（群）建设（明确1—2个重点建设的高水平专业（群））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（四）深化教学改革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（五）加强师资队伍建设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lastRenderedPageBreak/>
        <w:t>（六）深化产教融合、校企合作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（七）提升信息化水平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（八）提升国际交流合作水平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（九）提升现代化治理能力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（十）提升服务能力和水平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说明：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1.每项建设内容应当包含具体建设目标与思路，建设内容与措施，建设经费的预算情况、预期效益等；</w:t>
      </w:r>
    </w:p>
    <w:p w:rsidR="00DB20B1" w:rsidRDefault="00DB20B1" w:rsidP="00DB20B1">
      <w:pPr>
        <w:spacing w:line="600" w:lineRule="exact"/>
        <w:ind w:firstLineChars="200" w:firstLine="624"/>
        <w:rPr>
          <w:rFonts w:ascii="仿宋_GB2312" w:eastAsia="仿宋_GB2312" w:hint="eastAsia"/>
          <w:spacing w:val="-4"/>
          <w:sz w:val="32"/>
          <w:szCs w:val="32"/>
        </w:rPr>
      </w:pPr>
      <w:r>
        <w:rPr>
          <w:rFonts w:ascii="仿宋_GB2312" w:eastAsia="仿宋_GB2312" w:hint="eastAsia"/>
          <w:spacing w:val="-4"/>
          <w:sz w:val="32"/>
          <w:szCs w:val="32"/>
        </w:rPr>
        <w:t>2.可以根据学校实际情况，自行选取1—2个特色项目进行建设。</w:t>
      </w: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四、建设进度</w:t>
      </w: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五、经费预算</w:t>
      </w: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黑体" w:hint="eastAsia"/>
          <w:spacing w:val="-4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六、保障措施</w:t>
      </w:r>
    </w:p>
    <w:p w:rsidR="00DB20B1" w:rsidRDefault="00DB20B1" w:rsidP="00DB20B1">
      <w:pPr>
        <w:spacing w:line="600" w:lineRule="exact"/>
        <w:ind w:firstLineChars="200" w:firstLine="624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spacing w:val="-4"/>
          <w:sz w:val="32"/>
          <w:szCs w:val="32"/>
        </w:rPr>
        <w:t>七、预期效益</w:t>
      </w:r>
    </w:p>
    <w:p w:rsidR="00DB20B1" w:rsidRDefault="00DB20B1" w:rsidP="00DB20B1">
      <w:pPr>
        <w:rPr>
          <w:rFonts w:hint="eastAsia"/>
        </w:rPr>
      </w:pPr>
    </w:p>
    <w:p w:rsidR="00DB20B1" w:rsidRDefault="00DB20B1" w:rsidP="00DB20B1"/>
    <w:p w:rsidR="00DB20B1" w:rsidRDefault="00DB20B1" w:rsidP="00DB20B1"/>
    <w:p w:rsidR="00F138B5" w:rsidRPr="00DB20B1" w:rsidRDefault="00F138B5">
      <w:bookmarkStart w:id="0" w:name="_GoBack"/>
      <w:bookmarkEnd w:id="0"/>
    </w:p>
    <w:sectPr w:rsidR="00F138B5" w:rsidRPr="00DB20B1">
      <w:footerReference w:type="even" r:id="rId6"/>
      <w:footerReference w:type="default" r:id="rId7"/>
      <w:pgSz w:w="11906" w:h="16838"/>
      <w:pgMar w:top="1928" w:right="1531" w:bottom="1871" w:left="1531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94" w:rsidRDefault="00984B94" w:rsidP="00DB20B1">
      <w:r>
        <w:separator/>
      </w:r>
    </w:p>
  </w:endnote>
  <w:endnote w:type="continuationSeparator" w:id="0">
    <w:p w:rsidR="00984B94" w:rsidRDefault="00984B94" w:rsidP="00DB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13" w:rsidRDefault="00984B94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</w:rPr>
      <w:t>30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6B3A13" w:rsidRDefault="00984B9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13" w:rsidRDefault="00984B94">
    <w:pPr>
      <w:pStyle w:val="a5"/>
      <w:wordWrap w:val="0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984B94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6B3A13" w:rsidRDefault="00984B94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94" w:rsidRDefault="00984B94" w:rsidP="00DB20B1">
      <w:r>
        <w:separator/>
      </w:r>
    </w:p>
  </w:footnote>
  <w:footnote w:type="continuationSeparator" w:id="0">
    <w:p w:rsidR="00984B94" w:rsidRDefault="00984B94" w:rsidP="00DB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4E"/>
    <w:rsid w:val="00984B94"/>
    <w:rsid w:val="00BE7C4E"/>
    <w:rsid w:val="00DB20B1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03DF5-E05F-45C0-9602-FCFEB510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0B1"/>
    <w:rPr>
      <w:sz w:val="18"/>
      <w:szCs w:val="18"/>
    </w:rPr>
  </w:style>
  <w:style w:type="paragraph" w:styleId="a5">
    <w:name w:val="footer"/>
    <w:basedOn w:val="a"/>
    <w:link w:val="a6"/>
    <w:unhideWhenUsed/>
    <w:rsid w:val="00DB20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0B1"/>
    <w:rPr>
      <w:sz w:val="18"/>
      <w:szCs w:val="18"/>
    </w:rPr>
  </w:style>
  <w:style w:type="character" w:styleId="a7">
    <w:name w:val="page number"/>
    <w:rsid w:val="00DB20B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2021-10-13T06:34:00Z</dcterms:created>
  <dcterms:modified xsi:type="dcterms:W3CDTF">2021-10-13T06:34:00Z</dcterms:modified>
</cp:coreProperties>
</file>