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0A6C" w14:textId="77777777" w:rsidR="0042133E" w:rsidRPr="009A69EA" w:rsidRDefault="0042133E" w:rsidP="0042133E">
      <w:pPr>
        <w:spacing w:line="60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附件2</w:t>
      </w:r>
    </w:p>
    <w:p w14:paraId="6221C572" w14:textId="77777777" w:rsidR="0042133E" w:rsidRPr="00EB4410" w:rsidRDefault="0042133E" w:rsidP="0042133E">
      <w:pPr>
        <w:spacing w:line="600" w:lineRule="exact"/>
        <w:jc w:val="center"/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</w:pPr>
      <w:r w:rsidRPr="00EB4410">
        <w:rPr>
          <w:rFonts w:ascii="方正小标宋简体" w:eastAsia="方正小标宋简体" w:hAnsi="华文中宋" w:hint="eastAsia"/>
          <w:sz w:val="36"/>
          <w:szCs w:val="36"/>
        </w:rPr>
        <w:t>《“中华传统美德一百讲”标准要求》</w:t>
      </w:r>
    </w:p>
    <w:tbl>
      <w:tblPr>
        <w:tblpPr w:leftFromText="180" w:rightFromText="180" w:vertAnchor="text" w:horzAnchor="page" w:tblpXSpec="center" w:tblpY="2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8039"/>
      </w:tblGrid>
      <w:tr w:rsidR="0042133E" w:rsidRPr="00BC78F5" w14:paraId="7C13B257" w14:textId="77777777" w:rsidTr="0042133E">
        <w:trPr>
          <w:cantSplit/>
          <w:trHeight w:val="555"/>
          <w:tblHeader/>
        </w:trPr>
        <w:tc>
          <w:tcPr>
            <w:tcW w:w="1000" w:type="dxa"/>
            <w:vAlign w:val="center"/>
          </w:tcPr>
          <w:p w14:paraId="44A09C0D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sz w:val="32"/>
                <w:szCs w:val="32"/>
              </w:rPr>
            </w:pPr>
            <w:bookmarkStart w:id="0" w:name="_Hlk10491916"/>
            <w:r w:rsidRPr="009A69EA">
              <w:rPr>
                <w:rFonts w:ascii="仿宋_GB2312" w:eastAsia="仿宋_GB2312" w:hAnsiTheme="majorEastAsia" w:cstheme="majorEastAsia" w:hint="eastAsia"/>
                <w:b/>
                <w:sz w:val="32"/>
                <w:szCs w:val="32"/>
              </w:rPr>
              <w:t>指标</w:t>
            </w:r>
          </w:p>
        </w:tc>
        <w:tc>
          <w:tcPr>
            <w:tcW w:w="8039" w:type="dxa"/>
            <w:vAlign w:val="center"/>
          </w:tcPr>
          <w:p w14:paraId="608F7F4E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sz w:val="32"/>
                <w:szCs w:val="32"/>
              </w:rPr>
            </w:pPr>
            <w:r w:rsidRPr="009A69EA">
              <w:rPr>
                <w:rFonts w:ascii="仿宋_GB2312" w:eastAsia="仿宋_GB2312" w:hAnsiTheme="majorEastAsia" w:cstheme="majorEastAsia" w:hint="eastAsia"/>
                <w:b/>
                <w:sz w:val="32"/>
                <w:szCs w:val="32"/>
              </w:rPr>
              <w:t>要素观测点</w:t>
            </w:r>
          </w:p>
        </w:tc>
      </w:tr>
      <w:tr w:rsidR="0042133E" w:rsidRPr="00BC78F5" w14:paraId="4E0D23AB" w14:textId="77777777" w:rsidTr="008D770A">
        <w:trPr>
          <w:cantSplit/>
          <w:trHeight w:val="2835"/>
        </w:trPr>
        <w:tc>
          <w:tcPr>
            <w:tcW w:w="1000" w:type="dxa"/>
            <w:vAlign w:val="center"/>
          </w:tcPr>
          <w:p w14:paraId="1AADC019" w14:textId="77777777" w:rsidR="0042133E" w:rsidRPr="00BC78F5" w:rsidRDefault="0042133E" w:rsidP="008D770A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sz w:val="32"/>
                <w:szCs w:val="32"/>
              </w:rPr>
            </w:pPr>
            <w:r w:rsidRPr="00BC78F5">
              <w:rPr>
                <w:rFonts w:ascii="仿宋_GB2312" w:eastAsia="仿宋_GB2312" w:hAnsiTheme="majorEastAsia" w:cstheme="majorEastAsia" w:hint="eastAsia"/>
                <w:b/>
                <w:kern w:val="0"/>
                <w:sz w:val="32"/>
                <w:szCs w:val="32"/>
              </w:rPr>
              <w:t>讲授</w:t>
            </w:r>
            <w:r w:rsidRPr="00BC78F5">
              <w:rPr>
                <w:rFonts w:ascii="仿宋_GB2312" w:eastAsia="仿宋_GB2312" w:hAnsiTheme="majorEastAsia" w:cstheme="majorEastAsia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8039" w:type="dxa"/>
            <w:vAlign w:val="center"/>
          </w:tcPr>
          <w:p w14:paraId="16AF48BD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1.对经典名句解读准确，典籍出处及相关背景讲解清楚，易于理解；</w:t>
            </w:r>
          </w:p>
          <w:p w14:paraId="5D864357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2.引用文献资料、历史典故清晰阐释经典名句的精神内核，层次分明；</w:t>
            </w:r>
          </w:p>
          <w:p w14:paraId="02D241CB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3.结合职业教育相关案例阐释经典名句的时代价值，体现社会主义核心价值观引领，展示中华传统美德的创造性转化和创新性发展。</w:t>
            </w:r>
          </w:p>
          <w:p w14:paraId="5732AC69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4.结合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  <w:lang w:val="zh-CN"/>
              </w:rPr>
              <w:t>地域文化特色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和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  <w:lang w:val="zh-CN"/>
              </w:rPr>
              <w:t>学校的文化优势，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讲好身边的职教故事，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  <w:lang w:val="zh-CN"/>
              </w:rPr>
              <w:t>引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发学生的</w:t>
            </w: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  <w:lang w:val="zh-CN"/>
              </w:rPr>
              <w:t>共鸣，增强文化认同感，学以致用，知行合一。</w:t>
            </w:r>
          </w:p>
        </w:tc>
      </w:tr>
      <w:tr w:rsidR="0042133E" w:rsidRPr="00BC78F5" w14:paraId="5B6BAA53" w14:textId="77777777" w:rsidTr="008D770A">
        <w:trPr>
          <w:cantSplit/>
          <w:trHeight w:val="2866"/>
        </w:trPr>
        <w:tc>
          <w:tcPr>
            <w:tcW w:w="1000" w:type="dxa"/>
            <w:vAlign w:val="center"/>
          </w:tcPr>
          <w:p w14:paraId="691E3AB3" w14:textId="77777777" w:rsidR="0042133E" w:rsidRPr="00BC78F5" w:rsidRDefault="0042133E" w:rsidP="008D770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kern w:val="0"/>
                <w:sz w:val="32"/>
                <w:szCs w:val="32"/>
              </w:rPr>
            </w:pPr>
            <w:r w:rsidRPr="00BC78F5">
              <w:rPr>
                <w:rFonts w:ascii="仿宋_GB2312" w:eastAsia="仿宋_GB2312" w:hAnsiTheme="majorEastAsia" w:cstheme="majorEastAsia" w:hint="eastAsia"/>
                <w:b/>
                <w:kern w:val="0"/>
                <w:sz w:val="32"/>
                <w:szCs w:val="32"/>
              </w:rPr>
              <w:t>呈现形式</w:t>
            </w:r>
          </w:p>
        </w:tc>
        <w:tc>
          <w:tcPr>
            <w:tcW w:w="8039" w:type="dxa"/>
            <w:vAlign w:val="center"/>
          </w:tcPr>
          <w:p w14:paraId="47BECE3A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1.教学设计理念先进，内容呈现架构合理，案例选择恰当，融合自然；</w:t>
            </w:r>
          </w:p>
          <w:p w14:paraId="7DFA61CE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2.根据教学对象特点，选用灵活适当的教学策略和方法，注重调动学习积极性和兴趣点，互动性强；</w:t>
            </w:r>
          </w:p>
          <w:p w14:paraId="09871AC5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3.讲授媒体运用恰当，录制方法与工具选用合理，视频图像清晰稳定、构图合理、重点内容有字幕提示，字幕用字、符号规范；</w:t>
            </w:r>
          </w:p>
          <w:p w14:paraId="1F1A9FA8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4. PPT和讲稿文档材料排版规范整齐，图文并茂，无常识错误。</w:t>
            </w:r>
          </w:p>
        </w:tc>
      </w:tr>
      <w:tr w:rsidR="0042133E" w:rsidRPr="00BC78F5" w14:paraId="6CCB94D7" w14:textId="77777777" w:rsidTr="008D770A">
        <w:trPr>
          <w:cantSplit/>
          <w:trHeight w:val="2096"/>
        </w:trPr>
        <w:tc>
          <w:tcPr>
            <w:tcW w:w="1000" w:type="dxa"/>
            <w:vAlign w:val="center"/>
          </w:tcPr>
          <w:p w14:paraId="4C721821" w14:textId="77777777" w:rsidR="0042133E" w:rsidRPr="00BC78F5" w:rsidRDefault="0042133E" w:rsidP="008D770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sz w:val="32"/>
                <w:szCs w:val="32"/>
              </w:rPr>
            </w:pPr>
            <w:r w:rsidRPr="00BC78F5">
              <w:rPr>
                <w:rFonts w:ascii="仿宋_GB2312" w:eastAsia="仿宋_GB2312" w:hAnsiTheme="majorEastAsia" w:cstheme="majorEastAsia" w:hint="eastAsia"/>
                <w:b/>
                <w:kern w:val="0"/>
                <w:sz w:val="32"/>
                <w:szCs w:val="32"/>
              </w:rPr>
              <w:t>讲授效果</w:t>
            </w:r>
          </w:p>
        </w:tc>
        <w:tc>
          <w:tcPr>
            <w:tcW w:w="8039" w:type="dxa"/>
            <w:vAlign w:val="center"/>
          </w:tcPr>
          <w:p w14:paraId="50148BFE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1.教学内容思想性强，体现习近平新时代中国特色社会主义思想，同时能结合职教特色，学生获得感强；</w:t>
            </w:r>
          </w:p>
          <w:p w14:paraId="3F4B7F97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2.教学过程主线清晰，层次完整、紧凑、流畅，教学设计情境切合主题，逻辑性和启发引导性强；</w:t>
            </w:r>
          </w:p>
          <w:p w14:paraId="4E6AA869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3.语言表达清晰流畅，富有感染力。</w:t>
            </w:r>
          </w:p>
        </w:tc>
      </w:tr>
      <w:tr w:rsidR="0042133E" w:rsidRPr="00BC78F5" w14:paraId="7A6E64CA" w14:textId="77777777" w:rsidTr="008D770A">
        <w:trPr>
          <w:cantSplit/>
          <w:trHeight w:val="1844"/>
        </w:trPr>
        <w:tc>
          <w:tcPr>
            <w:tcW w:w="1000" w:type="dxa"/>
            <w:vAlign w:val="center"/>
          </w:tcPr>
          <w:p w14:paraId="5919EDFF" w14:textId="77777777" w:rsidR="0042133E" w:rsidRPr="00BC78F5" w:rsidRDefault="0042133E" w:rsidP="008D770A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Theme="majorEastAsia" w:cstheme="majorEastAsia"/>
                <w:b/>
                <w:sz w:val="32"/>
                <w:szCs w:val="32"/>
              </w:rPr>
            </w:pPr>
            <w:r w:rsidRPr="00BC78F5">
              <w:rPr>
                <w:rFonts w:ascii="仿宋_GB2312" w:eastAsia="仿宋_GB2312" w:hAnsiTheme="majorEastAsia" w:cstheme="majorEastAsia" w:hint="eastAsia"/>
                <w:b/>
                <w:sz w:val="32"/>
                <w:szCs w:val="32"/>
              </w:rPr>
              <w:t>特色创新</w:t>
            </w:r>
          </w:p>
        </w:tc>
        <w:tc>
          <w:tcPr>
            <w:tcW w:w="8039" w:type="dxa"/>
            <w:vAlign w:val="center"/>
          </w:tcPr>
          <w:p w14:paraId="52CC2D12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1.注重价值引领，贯穿现代职业教育思想，引导学习者树立正确的道德观念，坚定文化自信，体现知行合一；</w:t>
            </w:r>
          </w:p>
          <w:p w14:paraId="7DE9F8C8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2.立意新颖，构思独特，技术领先；</w:t>
            </w:r>
          </w:p>
          <w:p w14:paraId="13FA0A6B" w14:textId="77777777" w:rsidR="0042133E" w:rsidRPr="009A69EA" w:rsidRDefault="0042133E" w:rsidP="008D770A">
            <w:pPr>
              <w:overflowPunct w:val="0"/>
              <w:snapToGrid w:val="0"/>
              <w:spacing w:line="360" w:lineRule="exact"/>
              <w:ind w:firstLineChars="100" w:firstLine="280"/>
              <w:rPr>
                <w:rFonts w:ascii="仿宋_GB2312" w:eastAsia="仿宋_GB2312" w:hAnsiTheme="minorEastAsia" w:cstheme="minorEastAsia"/>
                <w:bCs/>
                <w:sz w:val="28"/>
                <w:szCs w:val="32"/>
              </w:rPr>
            </w:pPr>
            <w:r w:rsidRPr="009A69EA">
              <w:rPr>
                <w:rFonts w:ascii="仿宋_GB2312" w:eastAsia="仿宋_GB2312" w:hAnsiTheme="minorEastAsia" w:cstheme="minorEastAsia" w:hint="eastAsia"/>
                <w:bCs/>
                <w:sz w:val="28"/>
                <w:szCs w:val="32"/>
              </w:rPr>
              <w:t>3.具有较大的借鉴和推广价值。</w:t>
            </w:r>
          </w:p>
        </w:tc>
      </w:tr>
      <w:bookmarkEnd w:id="0"/>
    </w:tbl>
    <w:p w14:paraId="2C8B69BD" w14:textId="310F739B" w:rsidR="002C439F" w:rsidRDefault="002C439F" w:rsidP="00D91EF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C439F" w:rsidSect="007938BB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CA6FB" w14:textId="77777777" w:rsidR="006E5A4D" w:rsidRDefault="006E5A4D">
      <w:r>
        <w:separator/>
      </w:r>
    </w:p>
  </w:endnote>
  <w:endnote w:type="continuationSeparator" w:id="0">
    <w:p w14:paraId="78EF44A7" w14:textId="77777777" w:rsidR="006E5A4D" w:rsidRDefault="006E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40212"/>
    </w:sdtPr>
    <w:sdtEndPr>
      <w:rPr>
        <w:sz w:val="24"/>
        <w:szCs w:val="24"/>
      </w:rPr>
    </w:sdtEndPr>
    <w:sdtContent>
      <w:p w14:paraId="4E6C38C6" w14:textId="77777777" w:rsidR="002A4416" w:rsidRDefault="00FA4409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060FD6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11628" w:rsidRPr="00211628">
          <w:rPr>
            <w:noProof/>
            <w:sz w:val="24"/>
            <w:szCs w:val="24"/>
            <w:lang w:val="zh-CN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 w14:paraId="28CAE244" w14:textId="77777777" w:rsidR="002A4416" w:rsidRDefault="002A4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E8CD" w14:textId="77777777" w:rsidR="006E5A4D" w:rsidRDefault="006E5A4D">
      <w:r>
        <w:separator/>
      </w:r>
    </w:p>
  </w:footnote>
  <w:footnote w:type="continuationSeparator" w:id="0">
    <w:p w14:paraId="2A9C4C52" w14:textId="77777777" w:rsidR="006E5A4D" w:rsidRDefault="006E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0"/>
    <w:rsid w:val="00004B45"/>
    <w:rsid w:val="00024FA1"/>
    <w:rsid w:val="000322D8"/>
    <w:rsid w:val="00060FD6"/>
    <w:rsid w:val="00062E6B"/>
    <w:rsid w:val="00075D35"/>
    <w:rsid w:val="00084ADB"/>
    <w:rsid w:val="000C63C4"/>
    <w:rsid w:val="00106658"/>
    <w:rsid w:val="00113205"/>
    <w:rsid w:val="00134763"/>
    <w:rsid w:val="00134882"/>
    <w:rsid w:val="00136099"/>
    <w:rsid w:val="00136502"/>
    <w:rsid w:val="0014483D"/>
    <w:rsid w:val="00144D51"/>
    <w:rsid w:val="001A015B"/>
    <w:rsid w:val="001B46A5"/>
    <w:rsid w:val="001F26D7"/>
    <w:rsid w:val="0020156C"/>
    <w:rsid w:val="002024FA"/>
    <w:rsid w:val="002046CA"/>
    <w:rsid w:val="00211628"/>
    <w:rsid w:val="0022470C"/>
    <w:rsid w:val="002457F5"/>
    <w:rsid w:val="00247306"/>
    <w:rsid w:val="0025613B"/>
    <w:rsid w:val="00256275"/>
    <w:rsid w:val="0026517A"/>
    <w:rsid w:val="002A4416"/>
    <w:rsid w:val="002B23AF"/>
    <w:rsid w:val="002B5877"/>
    <w:rsid w:val="002C439F"/>
    <w:rsid w:val="002E5A17"/>
    <w:rsid w:val="002F23EC"/>
    <w:rsid w:val="002F33FF"/>
    <w:rsid w:val="00324CC6"/>
    <w:rsid w:val="00330864"/>
    <w:rsid w:val="003324A7"/>
    <w:rsid w:val="00386B23"/>
    <w:rsid w:val="003B4424"/>
    <w:rsid w:val="003D3BB5"/>
    <w:rsid w:val="003D7CE8"/>
    <w:rsid w:val="003F3D9D"/>
    <w:rsid w:val="004016A5"/>
    <w:rsid w:val="00405001"/>
    <w:rsid w:val="0041482A"/>
    <w:rsid w:val="0042133E"/>
    <w:rsid w:val="004273C9"/>
    <w:rsid w:val="004401DC"/>
    <w:rsid w:val="00482268"/>
    <w:rsid w:val="004A0B90"/>
    <w:rsid w:val="004A237D"/>
    <w:rsid w:val="004B1362"/>
    <w:rsid w:val="004B1A7A"/>
    <w:rsid w:val="004B7F5E"/>
    <w:rsid w:val="004C7432"/>
    <w:rsid w:val="004E1EA3"/>
    <w:rsid w:val="004F5432"/>
    <w:rsid w:val="004F6805"/>
    <w:rsid w:val="0052278C"/>
    <w:rsid w:val="0053066D"/>
    <w:rsid w:val="00561167"/>
    <w:rsid w:val="00563201"/>
    <w:rsid w:val="0056523E"/>
    <w:rsid w:val="005775C9"/>
    <w:rsid w:val="005806EC"/>
    <w:rsid w:val="00590BCE"/>
    <w:rsid w:val="005A22B4"/>
    <w:rsid w:val="005B0B84"/>
    <w:rsid w:val="005F067C"/>
    <w:rsid w:val="006466C3"/>
    <w:rsid w:val="00647266"/>
    <w:rsid w:val="006603C8"/>
    <w:rsid w:val="00660BFF"/>
    <w:rsid w:val="006654B1"/>
    <w:rsid w:val="006C7F0A"/>
    <w:rsid w:val="006E0B51"/>
    <w:rsid w:val="006E5A4D"/>
    <w:rsid w:val="006F1E85"/>
    <w:rsid w:val="00734D12"/>
    <w:rsid w:val="0078323C"/>
    <w:rsid w:val="007938BB"/>
    <w:rsid w:val="007C0A30"/>
    <w:rsid w:val="007C3464"/>
    <w:rsid w:val="007E294D"/>
    <w:rsid w:val="007E369A"/>
    <w:rsid w:val="007E4B95"/>
    <w:rsid w:val="007F5FB3"/>
    <w:rsid w:val="00803089"/>
    <w:rsid w:val="008077A5"/>
    <w:rsid w:val="00807830"/>
    <w:rsid w:val="00813C88"/>
    <w:rsid w:val="00827935"/>
    <w:rsid w:val="00841F1D"/>
    <w:rsid w:val="00875C4C"/>
    <w:rsid w:val="0088038D"/>
    <w:rsid w:val="00887B4D"/>
    <w:rsid w:val="0089124C"/>
    <w:rsid w:val="008C33CE"/>
    <w:rsid w:val="008E0A4E"/>
    <w:rsid w:val="008E1727"/>
    <w:rsid w:val="0091287B"/>
    <w:rsid w:val="0092441A"/>
    <w:rsid w:val="00932F25"/>
    <w:rsid w:val="00952D1D"/>
    <w:rsid w:val="0095504D"/>
    <w:rsid w:val="00955602"/>
    <w:rsid w:val="00974DB3"/>
    <w:rsid w:val="00976C06"/>
    <w:rsid w:val="009878BA"/>
    <w:rsid w:val="00997CBD"/>
    <w:rsid w:val="009A1D58"/>
    <w:rsid w:val="009A4478"/>
    <w:rsid w:val="009A66AC"/>
    <w:rsid w:val="009B0831"/>
    <w:rsid w:val="009B773D"/>
    <w:rsid w:val="009D2888"/>
    <w:rsid w:val="009D3EE8"/>
    <w:rsid w:val="00A32568"/>
    <w:rsid w:val="00A53F0B"/>
    <w:rsid w:val="00A542ED"/>
    <w:rsid w:val="00A5787B"/>
    <w:rsid w:val="00A61436"/>
    <w:rsid w:val="00A7602C"/>
    <w:rsid w:val="00A77DC9"/>
    <w:rsid w:val="00A8176A"/>
    <w:rsid w:val="00A81961"/>
    <w:rsid w:val="00AB701C"/>
    <w:rsid w:val="00B23114"/>
    <w:rsid w:val="00B4650B"/>
    <w:rsid w:val="00B6291D"/>
    <w:rsid w:val="00B73FDE"/>
    <w:rsid w:val="00B813E3"/>
    <w:rsid w:val="00B96987"/>
    <w:rsid w:val="00BA0999"/>
    <w:rsid w:val="00BA6F54"/>
    <w:rsid w:val="00BC2D26"/>
    <w:rsid w:val="00BC3C82"/>
    <w:rsid w:val="00BD02C4"/>
    <w:rsid w:val="00C05BEC"/>
    <w:rsid w:val="00C33664"/>
    <w:rsid w:val="00C40DFA"/>
    <w:rsid w:val="00C4546B"/>
    <w:rsid w:val="00C6224B"/>
    <w:rsid w:val="00C634E7"/>
    <w:rsid w:val="00C714AE"/>
    <w:rsid w:val="00C72A5E"/>
    <w:rsid w:val="00C8512C"/>
    <w:rsid w:val="00CC1E76"/>
    <w:rsid w:val="00CF5F07"/>
    <w:rsid w:val="00D06631"/>
    <w:rsid w:val="00D23F7A"/>
    <w:rsid w:val="00D30C62"/>
    <w:rsid w:val="00D54C83"/>
    <w:rsid w:val="00D5633F"/>
    <w:rsid w:val="00D72BB5"/>
    <w:rsid w:val="00D73CB0"/>
    <w:rsid w:val="00D74854"/>
    <w:rsid w:val="00D76074"/>
    <w:rsid w:val="00D91EF7"/>
    <w:rsid w:val="00D97FF3"/>
    <w:rsid w:val="00DC5C0B"/>
    <w:rsid w:val="00DD6114"/>
    <w:rsid w:val="00DE080B"/>
    <w:rsid w:val="00DE2FE4"/>
    <w:rsid w:val="00DE49C8"/>
    <w:rsid w:val="00DF4209"/>
    <w:rsid w:val="00DF65C6"/>
    <w:rsid w:val="00E25F15"/>
    <w:rsid w:val="00E2741A"/>
    <w:rsid w:val="00E40DFC"/>
    <w:rsid w:val="00E528F8"/>
    <w:rsid w:val="00E7165D"/>
    <w:rsid w:val="00E94C62"/>
    <w:rsid w:val="00EB047A"/>
    <w:rsid w:val="00EB325A"/>
    <w:rsid w:val="00EB4410"/>
    <w:rsid w:val="00ED5BB2"/>
    <w:rsid w:val="00EF23A3"/>
    <w:rsid w:val="00F21FEB"/>
    <w:rsid w:val="00F326C1"/>
    <w:rsid w:val="00F40A7A"/>
    <w:rsid w:val="00F416F8"/>
    <w:rsid w:val="00F5419F"/>
    <w:rsid w:val="00F61C15"/>
    <w:rsid w:val="00F814D4"/>
    <w:rsid w:val="00F9387F"/>
    <w:rsid w:val="00F97005"/>
    <w:rsid w:val="00FA2F0A"/>
    <w:rsid w:val="00FA4409"/>
    <w:rsid w:val="00FB1592"/>
    <w:rsid w:val="00FF51E1"/>
    <w:rsid w:val="04383903"/>
    <w:rsid w:val="086C12F8"/>
    <w:rsid w:val="0CC558AF"/>
    <w:rsid w:val="0E307F2C"/>
    <w:rsid w:val="0F9F1913"/>
    <w:rsid w:val="139D16C5"/>
    <w:rsid w:val="180A348E"/>
    <w:rsid w:val="19344977"/>
    <w:rsid w:val="1B8A610E"/>
    <w:rsid w:val="1C24693F"/>
    <w:rsid w:val="1CBB5451"/>
    <w:rsid w:val="1D0A6712"/>
    <w:rsid w:val="209A28C7"/>
    <w:rsid w:val="220E7BE6"/>
    <w:rsid w:val="25ED360D"/>
    <w:rsid w:val="28356915"/>
    <w:rsid w:val="2AF84912"/>
    <w:rsid w:val="2C985E82"/>
    <w:rsid w:val="2F955481"/>
    <w:rsid w:val="2FB92BF0"/>
    <w:rsid w:val="304279FB"/>
    <w:rsid w:val="32B2633B"/>
    <w:rsid w:val="32D2305F"/>
    <w:rsid w:val="3418091E"/>
    <w:rsid w:val="35204FB0"/>
    <w:rsid w:val="36C73CD8"/>
    <w:rsid w:val="37327588"/>
    <w:rsid w:val="37BE6293"/>
    <w:rsid w:val="383C7132"/>
    <w:rsid w:val="3D403B02"/>
    <w:rsid w:val="3ED846AB"/>
    <w:rsid w:val="4197775C"/>
    <w:rsid w:val="41FF308D"/>
    <w:rsid w:val="44763EA0"/>
    <w:rsid w:val="4577612A"/>
    <w:rsid w:val="45C51B4A"/>
    <w:rsid w:val="4ECB4DA2"/>
    <w:rsid w:val="4EF63092"/>
    <w:rsid w:val="4F597B4C"/>
    <w:rsid w:val="4FA2003C"/>
    <w:rsid w:val="5148716C"/>
    <w:rsid w:val="53E65DB1"/>
    <w:rsid w:val="5A1F7175"/>
    <w:rsid w:val="5A806276"/>
    <w:rsid w:val="62975B2B"/>
    <w:rsid w:val="66D41289"/>
    <w:rsid w:val="70135A62"/>
    <w:rsid w:val="7159638B"/>
    <w:rsid w:val="78DA71D7"/>
    <w:rsid w:val="7FE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948265"/>
  <w15:docId w15:val="{3302F9F2-B713-49EF-AA63-8620700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 w:cs="宋体"/>
      <w:kern w:val="2"/>
      <w:sz w:val="18"/>
      <w:szCs w:val="18"/>
    </w:rPr>
  </w:style>
  <w:style w:type="character" w:styleId="ab">
    <w:name w:val="Hyperlink"/>
    <w:basedOn w:val="a0"/>
    <w:rsid w:val="00BC3C82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386B23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386B23"/>
    <w:rPr>
      <w:rFonts w:ascii="宋体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李菡</dc:creator>
  <cp:lastModifiedBy>左 玉珍</cp:lastModifiedBy>
  <cp:revision>5</cp:revision>
  <dcterms:created xsi:type="dcterms:W3CDTF">2020-09-24T03:20:00Z</dcterms:created>
  <dcterms:modified xsi:type="dcterms:W3CDTF">2020-09-25T05:06:00Z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