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9C" w:rsidRDefault="004C7E9C" w:rsidP="004C7E9C">
      <w:pPr>
        <w:pStyle w:val="2"/>
        <w:ind w:leftChars="100" w:left="210" w:firstLineChars="100" w:firstLine="321"/>
        <w:jc w:val="left"/>
        <w:rPr>
          <w:rFonts w:ascii="仿宋" w:eastAsia="仿宋" w:hAnsi="仿宋"/>
          <w:bCs w:val="0"/>
          <w:szCs w:val="24"/>
          <w:lang w:eastAsia="zh-CN"/>
        </w:rPr>
      </w:pPr>
      <w:r>
        <w:rPr>
          <w:rFonts w:ascii="仿宋" w:eastAsia="仿宋" w:hAnsi="仿宋" w:hint="eastAsia"/>
          <w:bCs w:val="0"/>
          <w:szCs w:val="24"/>
          <w:lang w:eastAsia="zh-CN"/>
        </w:rPr>
        <w:t>附件1</w:t>
      </w:r>
    </w:p>
    <w:p w:rsidR="004C7E9C" w:rsidRDefault="004C7E9C" w:rsidP="004C7E9C">
      <w:pPr>
        <w:pStyle w:val="2"/>
        <w:jc w:val="center"/>
        <w:rPr>
          <w:rFonts w:ascii="仿宋_GB2312" w:eastAsia="仿宋_GB2312"/>
          <w:b w:val="0"/>
          <w:sz w:val="30"/>
          <w:szCs w:val="30"/>
        </w:rPr>
      </w:pPr>
      <w:r>
        <w:rPr>
          <w:rFonts w:ascii="仿宋_GB2312" w:eastAsia="仿宋_GB2312" w:hint="eastAsia"/>
          <w:b w:val="0"/>
          <w:sz w:val="30"/>
          <w:szCs w:val="30"/>
        </w:rPr>
        <w:t>虚拟仿真</w:t>
      </w:r>
      <w:bookmarkStart w:id="0" w:name="OLE_LINK46"/>
      <w:bookmarkStart w:id="1" w:name="OLE_LINK47"/>
      <w:bookmarkStart w:id="2" w:name="OLE_LINK48"/>
      <w:bookmarkStart w:id="3" w:name="OLE_LINK49"/>
      <w:bookmarkStart w:id="4" w:name="OLE_LINK50"/>
      <w:r>
        <w:rPr>
          <w:rFonts w:ascii="仿宋_GB2312" w:eastAsia="仿宋_GB2312" w:hint="eastAsia"/>
          <w:b w:val="0"/>
          <w:sz w:val="30"/>
          <w:szCs w:val="30"/>
          <w:lang w:eastAsia="zh-CN"/>
        </w:rPr>
        <w:t>教学案例</w:t>
      </w:r>
      <w:r>
        <w:rPr>
          <w:rFonts w:ascii="仿宋_GB2312" w:eastAsia="仿宋_GB2312" w:hint="eastAsia"/>
          <w:b w:val="0"/>
          <w:sz w:val="30"/>
          <w:szCs w:val="30"/>
        </w:rPr>
        <w:t>评价</w:t>
      </w:r>
      <w:bookmarkEnd w:id="0"/>
      <w:bookmarkEnd w:id="1"/>
      <w:bookmarkEnd w:id="2"/>
      <w:bookmarkEnd w:id="3"/>
      <w:bookmarkEnd w:id="4"/>
      <w:r>
        <w:rPr>
          <w:rFonts w:ascii="仿宋_GB2312" w:eastAsia="仿宋_GB2312" w:hint="eastAsia"/>
          <w:b w:val="0"/>
          <w:sz w:val="30"/>
          <w:szCs w:val="30"/>
          <w:lang w:eastAsia="zh-CN"/>
        </w:rPr>
        <w:t>体系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4987"/>
        <w:gridCol w:w="709"/>
      </w:tblGrid>
      <w:tr w:rsidR="004C7E9C" w:rsidTr="006B5C9F">
        <w:trPr>
          <w:cantSplit/>
          <w:trHeight w:val="820"/>
          <w:jc w:val="center"/>
        </w:trPr>
        <w:tc>
          <w:tcPr>
            <w:tcW w:w="1276" w:type="dxa"/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5" w:name="_Toc343775010"/>
            <w:bookmarkStart w:id="6" w:name="_Toc343775106"/>
            <w:bookmarkStart w:id="7" w:name="_Toc343775167"/>
            <w:bookmarkStart w:id="8" w:name="_Toc343775236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权重</w:t>
            </w:r>
          </w:p>
        </w:tc>
      </w:tr>
      <w:tr w:rsidR="004C7E9C" w:rsidTr="006B5C9F">
        <w:trPr>
          <w:cantSplit/>
          <w:trHeight w:val="820"/>
          <w:jc w:val="center"/>
        </w:trPr>
        <w:tc>
          <w:tcPr>
            <w:tcW w:w="1276" w:type="dxa"/>
            <w:vMerge w:val="restart"/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方案选题</w:t>
            </w:r>
          </w:p>
          <w:p w:rsidR="004C7E9C" w:rsidRDefault="004C7E9C" w:rsidP="006B5C9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必要性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围绕实践教学中的难点与重点，在教学与实践、实训中具有不可或缺的支撑作用；</w:t>
            </w:r>
          </w:p>
          <w:p w:rsidR="004C7E9C" w:rsidRDefault="004C7E9C" w:rsidP="006B5C9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符合实际教学需求、强化技能训练、降低教学成本。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4C7E9C" w:rsidTr="006B5C9F">
        <w:trPr>
          <w:cantSplit/>
          <w:trHeight w:val="820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科学性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1.体现 “以学习者为中心”的教育理念，符合学生认知学习规律；</w:t>
            </w:r>
          </w:p>
          <w:p w:rsidR="004C7E9C" w:rsidRDefault="004C7E9C" w:rsidP="006B5C9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项目设计、规划科学合理，本着“能实不虚”的原则。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4C7E9C" w:rsidTr="006B5C9F">
        <w:trPr>
          <w:cantSplit/>
          <w:trHeight w:val="820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创新性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体现技术创新，能与新技术相结合构建智能化的虚拟仿真场景和辅助学习工具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4C7E9C" w:rsidTr="006B5C9F">
        <w:trPr>
          <w:cantSplit/>
          <w:trHeight w:val="596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教学设计</w:t>
            </w:r>
          </w:p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目标设计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教学目标清晰、定位准确、规范，适应于相应认知水平的学生。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8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教学策略设计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教学策略设计先进、得当，教学环节衔接科学、合理，能够充分发挥教学案例的作用。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68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教学内容设计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教学内容符合认知或技能形成的一般规律，实现学习设计的有效性、针对性、科学性。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69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教学组织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具有教学组织功能，教师对教学资源可进行组合和配置，对课程可进行设计规划和调整。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69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交互性设计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有教学交互、学习互动性设计，操作简便、健康友好、趣味性强。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629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考核、评价设计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C" w:rsidRDefault="004C7E9C" w:rsidP="006B5C9F">
            <w:pPr>
              <w:spacing w:line="60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对学生有效完整的考核、评价体系。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C7E9C" w:rsidRDefault="004C7E9C" w:rsidP="006B5C9F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4C7E9C" w:rsidTr="006B5C9F">
        <w:trPr>
          <w:cantSplit/>
          <w:trHeight w:val="1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教学内容</w:t>
            </w:r>
          </w:p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知识构架</w:t>
            </w:r>
          </w:p>
        </w:tc>
        <w:tc>
          <w:tcPr>
            <w:tcW w:w="4987" w:type="dxa"/>
            <w:tcBorders>
              <w:top w:val="single" w:sz="4" w:space="0" w:color="auto"/>
            </w:tcBorders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知识构架清晰，知识点明确、突出，知识链接科学、连续、自然。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261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能力构架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能力构架清晰，技能点明确，能力关联科学、有效，对核心能力或技能形成支撑。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473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完整性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能完成一个相对完整的教学内容或实训课程。</w:t>
            </w:r>
          </w:p>
        </w:tc>
        <w:tc>
          <w:tcPr>
            <w:tcW w:w="709" w:type="dxa"/>
          </w:tcPr>
          <w:p w:rsidR="004C7E9C" w:rsidRDefault="004C7E9C" w:rsidP="006B5C9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261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规范性</w:t>
            </w:r>
          </w:p>
        </w:tc>
        <w:tc>
          <w:tcPr>
            <w:tcW w:w="4987" w:type="dxa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文字、符号、单位和公式符合国家标准，符合相应技术规范。</w:t>
            </w:r>
          </w:p>
        </w:tc>
        <w:tc>
          <w:tcPr>
            <w:tcW w:w="709" w:type="dxa"/>
          </w:tcPr>
          <w:p w:rsidR="004C7E9C" w:rsidRDefault="004C7E9C" w:rsidP="006B5C9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261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ind w:firstLine="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标准化</w:t>
            </w:r>
          </w:p>
        </w:tc>
        <w:tc>
          <w:tcPr>
            <w:tcW w:w="4987" w:type="dxa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明确课程标准，依照教学标准和实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训教学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条件标准设计。</w:t>
            </w:r>
          </w:p>
        </w:tc>
        <w:tc>
          <w:tcPr>
            <w:tcW w:w="709" w:type="dxa"/>
          </w:tcPr>
          <w:p w:rsidR="004C7E9C" w:rsidRDefault="004C7E9C" w:rsidP="006B5C9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130"/>
          <w:jc w:val="center"/>
        </w:trPr>
        <w:tc>
          <w:tcPr>
            <w:tcW w:w="1276" w:type="dxa"/>
            <w:vMerge w:val="restart"/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技术运用</w:t>
            </w:r>
          </w:p>
          <w:p w:rsidR="004C7E9C" w:rsidRDefault="004C7E9C" w:rsidP="006B5C9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开发工具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开发工具软件选择适宜、科学、先进。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130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运行环境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用户操作软硬件设备要求、实践条件容易实现，有利于学生的学习。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221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snapToGrid w:val="0"/>
              <w:ind w:firstLine="442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操作性能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系统兼容性好，操作方便，启动、链接、转换时间短，没有“死机”现象。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180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snapToGrid w:val="0"/>
              <w:ind w:firstLine="44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仿真软件设计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设计规范，交互形式灵活、多样、方便，无导航、链接错误，技术含量高。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345"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snapToGrid w:val="0"/>
              <w:ind w:firstLine="44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媒体应用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多媒体技术使用科学、合理，素材选择精准、质优，有利于提升学习效果。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</w:tr>
      <w:tr w:rsidR="004C7E9C" w:rsidTr="006B5C9F">
        <w:trPr>
          <w:cantSplit/>
          <w:trHeight w:val="304"/>
          <w:jc w:val="center"/>
        </w:trPr>
        <w:tc>
          <w:tcPr>
            <w:tcW w:w="1276" w:type="dxa"/>
            <w:vMerge w:val="restart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仿真应用效果</w:t>
            </w:r>
          </w:p>
          <w:p w:rsidR="004C7E9C" w:rsidRDefault="004C7E9C" w:rsidP="006B5C9F">
            <w:pPr>
              <w:jc w:val="center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环境效果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仿真环境逼真，沉浸感强，仿真效果好，与实训或行业场景深度匹配。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4C7E9C" w:rsidTr="006B5C9F">
        <w:trPr>
          <w:cantSplit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snapToGrid w:val="0"/>
              <w:ind w:firstLine="44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制作效果</w:t>
            </w:r>
          </w:p>
        </w:tc>
        <w:tc>
          <w:tcPr>
            <w:tcW w:w="4987" w:type="dxa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制作精细，交互性强，能吸引和激发学生学习兴趣。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4C7E9C" w:rsidTr="006B5C9F">
        <w:trPr>
          <w:cantSplit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snapToGrid w:val="0"/>
              <w:ind w:firstLine="44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界面效果</w:t>
            </w:r>
          </w:p>
        </w:tc>
        <w:tc>
          <w:tcPr>
            <w:tcW w:w="4987" w:type="dxa"/>
            <w:vAlign w:val="center"/>
          </w:tcPr>
          <w:p w:rsidR="004C7E9C" w:rsidRDefault="004C7E9C" w:rsidP="006B5C9F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界面布局合理，整体风格统一，空间感染力强。色彩搭配协调，符合视觉认知规律。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4C7E9C" w:rsidTr="006B5C9F">
        <w:trPr>
          <w:cantSplit/>
          <w:jc w:val="center"/>
        </w:trPr>
        <w:tc>
          <w:tcPr>
            <w:tcW w:w="1276" w:type="dxa"/>
            <w:vMerge/>
            <w:vAlign w:val="center"/>
          </w:tcPr>
          <w:p w:rsidR="004C7E9C" w:rsidRDefault="004C7E9C" w:rsidP="006B5C9F">
            <w:pPr>
              <w:snapToGrid w:val="0"/>
              <w:ind w:firstLine="44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E9C" w:rsidRDefault="004C7E9C" w:rsidP="006B5C9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应用和推广</w:t>
            </w:r>
          </w:p>
        </w:tc>
        <w:tc>
          <w:tcPr>
            <w:tcW w:w="4987" w:type="dxa"/>
          </w:tcPr>
          <w:p w:rsidR="004C7E9C" w:rsidRDefault="004C7E9C" w:rsidP="006B5C9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已经形成仿真实训产品，在其他院校已得到有效推广和应用，获得国家、省部级奖项。</w:t>
            </w:r>
          </w:p>
        </w:tc>
        <w:tc>
          <w:tcPr>
            <w:tcW w:w="709" w:type="dxa"/>
            <w:vAlign w:val="center"/>
          </w:tcPr>
          <w:p w:rsidR="004C7E9C" w:rsidRDefault="004C7E9C" w:rsidP="006B5C9F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bookmarkEnd w:id="5"/>
      <w:bookmarkEnd w:id="6"/>
      <w:bookmarkEnd w:id="7"/>
      <w:bookmarkEnd w:id="8"/>
    </w:tbl>
    <w:p w:rsidR="004C7E9C" w:rsidRDefault="004C7E9C" w:rsidP="004C7E9C"/>
    <w:p w:rsidR="004C7E9C" w:rsidRDefault="004C7E9C" w:rsidP="004C7E9C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4C7E9C" w:rsidRDefault="004C7E9C" w:rsidP="004C7E9C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24"/>
        </w:rPr>
      </w:pPr>
      <w:r>
        <w:rPr>
          <w:rFonts w:ascii="仿宋" w:eastAsia="仿宋" w:hAnsi="仿宋" w:hint="eastAsia"/>
          <w:b/>
          <w:sz w:val="32"/>
          <w:szCs w:val="24"/>
        </w:rPr>
        <w:lastRenderedPageBreak/>
        <w:t>附件2</w:t>
      </w:r>
    </w:p>
    <w:p w:rsidR="004C7E9C" w:rsidRDefault="004C7E9C" w:rsidP="004C7E9C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虚拟仿真教学应用案例申报信息表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425"/>
        <w:gridCol w:w="2166"/>
        <w:gridCol w:w="1701"/>
        <w:gridCol w:w="2835"/>
      </w:tblGrid>
      <w:tr w:rsidR="004C7E9C" w:rsidTr="006B5C9F">
        <w:trPr>
          <w:trHeight w:val="416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行政职务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cantSplit/>
          <w:trHeight w:val="937"/>
          <w:jc w:val="center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 w:line="4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案例名称：</w:t>
            </w:r>
          </w:p>
        </w:tc>
      </w:tr>
      <w:tr w:rsidR="004C7E9C" w:rsidTr="006B5C9F">
        <w:trPr>
          <w:trHeight w:val="135"/>
          <w:jc w:val="center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 w:line="480" w:lineRule="exact"/>
              <w:contextualSpacing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请先在 □ 处√选案例所属大类；并请参考“注释”中文件，在后面填写分类代码：（若为“其他”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请文字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注明）</w:t>
            </w:r>
          </w:p>
        </w:tc>
      </w:tr>
      <w:tr w:rsidR="004C7E9C" w:rsidTr="006B5C9F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装备制造大类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能源动力与材料大类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4C7E9C" w:rsidTr="006B5C9F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交通运输大类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资源环境与安全大类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4C7E9C" w:rsidTr="006B5C9F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电子信息大类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农林牧渔大类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4C7E9C" w:rsidTr="006B5C9F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生物与化工大类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财经商贸大类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4C7E9C" w:rsidTr="006B5C9F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医药卫生大类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轻工纺织大类</w:t>
            </w:r>
          </w:p>
          <w:p w:rsidR="004C7E9C" w:rsidRDefault="004C7E9C" w:rsidP="006B5C9F">
            <w:pPr>
              <w:spacing w:afterLines="30" w:after="93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分类代码：</w:t>
            </w:r>
          </w:p>
        </w:tc>
      </w:tr>
      <w:tr w:rsidR="004C7E9C" w:rsidTr="006B5C9F">
        <w:trPr>
          <w:trHeight w:val="34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1.案例简介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字以内的简介</w:t>
            </w: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4C7E9C" w:rsidTr="006B5C9F">
        <w:trPr>
          <w:trHeight w:val="271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2.案例设计目的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4C7E9C" w:rsidTr="006B5C9F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3.设计思路及技术原理（或对应的知识点）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本虚拟仿真覆盖的知识点数量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，设计思路及技术原理</w:t>
            </w: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4C7E9C" w:rsidTr="006B5C9F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4.教学组织及交互性设计描述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4C7E9C" w:rsidTr="006B5C9F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5.考核、评价体系描述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4C7E9C" w:rsidTr="006B5C9F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.方法与步骤要求描述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4C7E9C" w:rsidTr="006B5C9F">
        <w:trPr>
          <w:trHeight w:val="227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.教学方法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采用教学方法的目的，实施过程与效果</w:t>
            </w: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4C7E9C" w:rsidTr="006B5C9F">
        <w:trPr>
          <w:trHeight w:val="149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8.技术运用描述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trHeight w:val="720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.教学实践环境及操作配置要求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对实践条件、操作系统、软硬件设备要求等描述</w:t>
            </w:r>
          </w:p>
        </w:tc>
      </w:tr>
      <w:tr w:rsidR="004C7E9C" w:rsidTr="006B5C9F">
        <w:trPr>
          <w:trHeight w:val="720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.虚拟仿真应用效果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  <w:p w:rsidR="004C7E9C" w:rsidRDefault="004C7E9C" w:rsidP="006B5C9F">
            <w:pPr>
              <w:spacing w:afterLines="30" w:after="93" w:line="48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trHeight w:val="720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 w:line="480" w:lineRule="exact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.案例应用情况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9C" w:rsidRDefault="004C7E9C" w:rsidP="006B5C9F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案例在学校应用情况</w:t>
            </w:r>
          </w:p>
          <w:p w:rsidR="004C7E9C" w:rsidRDefault="004C7E9C" w:rsidP="006B5C9F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案例在行业培训中的应用情况</w:t>
            </w:r>
          </w:p>
          <w:p w:rsidR="004C7E9C" w:rsidRDefault="004C7E9C" w:rsidP="006B5C9F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案例在线上教学的应用情况</w:t>
            </w:r>
          </w:p>
          <w:p w:rsidR="004C7E9C" w:rsidRDefault="004C7E9C" w:rsidP="006B5C9F">
            <w:pPr>
              <w:spacing w:afterLines="30" w:after="93" w:line="4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trHeight w:val="1677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E9C" w:rsidRDefault="004C7E9C" w:rsidP="006B5C9F">
            <w:pPr>
              <w:spacing w:afterLines="30" w:after="93" w:line="4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已认真填写并检查以上材料内容，保证内容真实有效。</w:t>
            </w:r>
          </w:p>
          <w:p w:rsidR="004C7E9C" w:rsidRDefault="004C7E9C" w:rsidP="006B5C9F">
            <w:pPr>
              <w:spacing w:afterLines="30" w:after="93" w:line="480" w:lineRule="exact"/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单位负责人签字：</w:t>
            </w:r>
          </w:p>
          <w:p w:rsidR="004C7E9C" w:rsidRDefault="004C7E9C" w:rsidP="006B5C9F">
            <w:pPr>
              <w:spacing w:afterLines="30" w:after="93" w:line="480" w:lineRule="exact"/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  <w:p w:rsidR="004C7E9C" w:rsidRDefault="004C7E9C" w:rsidP="006B5C9F">
            <w:pPr>
              <w:spacing w:afterLines="30" w:after="93" w:line="480" w:lineRule="exact"/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</w:p>
        </w:tc>
      </w:tr>
    </w:tbl>
    <w:p w:rsidR="004C7E9C" w:rsidRDefault="004C7E9C" w:rsidP="004C7E9C">
      <w:pPr>
        <w:widowControl/>
        <w:spacing w:afterLines="50" w:after="156"/>
        <w:rPr>
          <w:rFonts w:ascii="仿宋" w:eastAsia="仿宋" w:hAnsi="仿宋"/>
          <w:b/>
          <w:sz w:val="22"/>
          <w:szCs w:val="28"/>
        </w:rPr>
      </w:pPr>
      <w:r>
        <w:rPr>
          <w:rFonts w:ascii="仿宋" w:eastAsia="仿宋" w:hAnsi="仿宋" w:hint="eastAsia"/>
          <w:b/>
          <w:szCs w:val="24"/>
        </w:rPr>
        <w:t>注：分类代码请参看《普通高等学校高等职业教育（专科）专业目录（201</w:t>
      </w:r>
      <w:r>
        <w:rPr>
          <w:rFonts w:ascii="仿宋" w:eastAsia="仿宋" w:hAnsi="仿宋"/>
          <w:b/>
          <w:szCs w:val="24"/>
        </w:rPr>
        <w:t>7</w:t>
      </w:r>
      <w:r>
        <w:rPr>
          <w:rFonts w:ascii="仿宋" w:eastAsia="仿宋" w:hAnsi="仿宋" w:hint="eastAsia"/>
          <w:b/>
          <w:szCs w:val="24"/>
        </w:rPr>
        <w:t>年）》</w:t>
      </w:r>
    </w:p>
    <w:p w:rsidR="004C7E9C" w:rsidRDefault="004C7E9C" w:rsidP="004C7E9C">
      <w:pPr>
        <w:widowControl/>
        <w:ind w:firstLineChars="200" w:firstLine="422"/>
        <w:jc w:val="left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szCs w:val="24"/>
        </w:rPr>
        <w:t>请以Word文档格式，如实填写各项</w:t>
      </w:r>
    </w:p>
    <w:p w:rsidR="004C7E9C" w:rsidRDefault="004C7E9C" w:rsidP="004C7E9C">
      <w:pPr>
        <w:widowControl/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szCs w:val="24"/>
        </w:rPr>
        <w:br w:type="page"/>
      </w:r>
      <w:r>
        <w:rPr>
          <w:rFonts w:ascii="仿宋" w:eastAsia="仿宋" w:hAnsi="仿宋" w:hint="eastAsia"/>
          <w:b/>
          <w:sz w:val="32"/>
          <w:szCs w:val="28"/>
        </w:rPr>
        <w:lastRenderedPageBreak/>
        <w:t>附件3</w:t>
      </w:r>
    </w:p>
    <w:p w:rsidR="004C7E9C" w:rsidRDefault="004C7E9C" w:rsidP="004C7E9C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征集与汇展活动报名表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6"/>
        <w:gridCol w:w="3244"/>
        <w:gridCol w:w="1418"/>
        <w:gridCol w:w="3118"/>
      </w:tblGrid>
      <w:tr w:rsidR="004C7E9C" w:rsidTr="006B5C9F">
        <w:trPr>
          <w:jc w:val="center"/>
        </w:trPr>
        <w:tc>
          <w:tcPr>
            <w:tcW w:w="1445" w:type="dxa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796" w:type="dxa"/>
            <w:gridSpan w:val="4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jc w:val="center"/>
        </w:trPr>
        <w:tc>
          <w:tcPr>
            <w:tcW w:w="1445" w:type="dxa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260" w:type="dxa"/>
            <w:gridSpan w:val="2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118" w:type="dxa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jc w:val="center"/>
        </w:trPr>
        <w:tc>
          <w:tcPr>
            <w:tcW w:w="1445" w:type="dxa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260" w:type="dxa"/>
            <w:gridSpan w:val="2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E－mail</w:t>
            </w:r>
          </w:p>
        </w:tc>
        <w:tc>
          <w:tcPr>
            <w:tcW w:w="3118" w:type="dxa"/>
          </w:tcPr>
          <w:p w:rsidR="004C7E9C" w:rsidRDefault="004C7E9C" w:rsidP="006B5C9F">
            <w:pPr>
              <w:spacing w:beforeLines="30" w:before="93" w:line="500" w:lineRule="exact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7E9C" w:rsidTr="006B5C9F">
        <w:trPr>
          <w:trHeight w:val="1039"/>
          <w:jc w:val="center"/>
        </w:trPr>
        <w:tc>
          <w:tcPr>
            <w:tcW w:w="1445" w:type="dxa"/>
            <w:vMerge w:val="restart"/>
            <w:vAlign w:val="center"/>
          </w:tcPr>
          <w:p w:rsidR="004C7E9C" w:rsidRDefault="004C7E9C" w:rsidP="006B5C9F">
            <w:pPr>
              <w:pStyle w:val="Style6"/>
              <w:spacing w:beforeLines="30" w:before="93" w:line="500" w:lineRule="exact"/>
              <w:ind w:firstLineChars="0" w:firstLine="0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参与网上汇展与评选</w:t>
            </w:r>
          </w:p>
        </w:tc>
        <w:tc>
          <w:tcPr>
            <w:tcW w:w="7796" w:type="dxa"/>
            <w:gridSpan w:val="4"/>
            <w:vAlign w:val="center"/>
          </w:tcPr>
          <w:p w:rsidR="004C7E9C" w:rsidRDefault="004C7E9C" w:rsidP="006B5C9F">
            <w:pPr>
              <w:pStyle w:val="Style6"/>
              <w:spacing w:line="360" w:lineRule="auto"/>
              <w:ind w:firstLineChars="0" w:firstLine="0"/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企业：申报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案例</w:t>
            </w:r>
          </w:p>
          <w:p w:rsidR="004C7E9C" w:rsidRDefault="004C7E9C" w:rsidP="006B5C9F">
            <w:pPr>
              <w:pStyle w:val="Style6"/>
              <w:spacing w:line="360" w:lineRule="auto"/>
              <w:ind w:firstLineChars="0" w:firstLine="0"/>
              <w:contextualSpacing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（企业申报网上展示费</w:t>
            </w:r>
            <w:r>
              <w:rPr>
                <w:rFonts w:ascii="仿宋" w:eastAsia="仿宋" w:hAnsi="仿宋"/>
                <w:sz w:val="24"/>
              </w:rPr>
              <w:t>50</w:t>
            </w:r>
            <w:r>
              <w:rPr>
                <w:rFonts w:ascii="仿宋" w:eastAsia="仿宋" w:hAnsi="仿宋" w:hint="eastAsia"/>
                <w:sz w:val="24"/>
              </w:rPr>
              <w:t>00元1个案例）</w:t>
            </w:r>
          </w:p>
        </w:tc>
      </w:tr>
      <w:tr w:rsidR="004C7E9C" w:rsidTr="006B5C9F">
        <w:trPr>
          <w:trHeight w:val="574"/>
          <w:jc w:val="center"/>
        </w:trPr>
        <w:tc>
          <w:tcPr>
            <w:tcW w:w="1445" w:type="dxa"/>
            <w:vMerge/>
            <w:vAlign w:val="center"/>
          </w:tcPr>
          <w:p w:rsidR="004C7E9C" w:rsidRDefault="004C7E9C" w:rsidP="006B5C9F">
            <w:pPr>
              <w:pStyle w:val="Style6"/>
              <w:spacing w:beforeLines="30" w:before="93" w:line="500" w:lineRule="exact"/>
              <w:ind w:firstLineChars="0" w:firstLine="0"/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4C7E9C" w:rsidRPr="002E3CB9" w:rsidRDefault="004C7E9C" w:rsidP="006B5C9F">
            <w:pPr>
              <w:pStyle w:val="Style6"/>
              <w:spacing w:beforeLines="30" w:before="93" w:line="360" w:lineRule="auto"/>
              <w:ind w:firstLineChars="0" w:firstLine="0"/>
              <w:contextualSpacing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：申报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案例</w:t>
            </w:r>
          </w:p>
        </w:tc>
      </w:tr>
      <w:tr w:rsidR="004C7E9C" w:rsidTr="006B5C9F">
        <w:trPr>
          <w:trHeight w:val="1944"/>
          <w:jc w:val="center"/>
        </w:trPr>
        <w:tc>
          <w:tcPr>
            <w:tcW w:w="1445" w:type="dxa"/>
            <w:vMerge/>
            <w:vAlign w:val="center"/>
          </w:tcPr>
          <w:p w:rsidR="004C7E9C" w:rsidRDefault="004C7E9C" w:rsidP="006B5C9F">
            <w:pPr>
              <w:pStyle w:val="Style6"/>
              <w:spacing w:beforeLines="30" w:before="93" w:line="500" w:lineRule="exact"/>
              <w:ind w:firstLineChars="0" w:firstLine="0"/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4C7E9C" w:rsidRDefault="004C7E9C" w:rsidP="006B5C9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费用主要用途：</w:t>
            </w:r>
          </w:p>
          <w:p w:rsidR="004C7E9C" w:rsidRDefault="004C7E9C" w:rsidP="006B5C9F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网上展示空间资源占用费、网站运营维护费、技术开发咨询费；</w:t>
            </w:r>
          </w:p>
          <w:p w:rsidR="004C7E9C" w:rsidRDefault="004C7E9C" w:rsidP="006B5C9F">
            <w:pPr>
              <w:pStyle w:val="Style6"/>
              <w:spacing w:line="360" w:lineRule="auto"/>
              <w:ind w:firstLineChars="0" w:firstLine="0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2）网上投票空间资源占用费、技术开发咨询费用；</w:t>
            </w:r>
          </w:p>
          <w:p w:rsidR="004C7E9C" w:rsidRDefault="004C7E9C" w:rsidP="006B5C9F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3）终评现场展示设备、空间租赁费，宣传展板制作费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C7E9C" w:rsidRDefault="004C7E9C" w:rsidP="006B5C9F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）评审材料打印费、奖状、奖杯购置费；</w:t>
            </w:r>
          </w:p>
          <w:p w:rsidR="004C7E9C" w:rsidRDefault="004C7E9C" w:rsidP="006B5C9F">
            <w:pPr>
              <w:pStyle w:val="a5"/>
              <w:spacing w:line="360" w:lineRule="auto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5）其他相关费用。</w:t>
            </w:r>
          </w:p>
        </w:tc>
      </w:tr>
      <w:tr w:rsidR="004C7E9C" w:rsidTr="006B5C9F">
        <w:trPr>
          <w:trHeight w:val="564"/>
          <w:jc w:val="center"/>
        </w:trPr>
        <w:tc>
          <w:tcPr>
            <w:tcW w:w="14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C7E9C" w:rsidRDefault="004C7E9C" w:rsidP="006B5C9F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2E3CB9">
              <w:rPr>
                <w:rFonts w:ascii="仿宋" w:eastAsia="仿宋" w:hAnsi="仿宋" w:hint="eastAsia"/>
                <w:sz w:val="24"/>
              </w:rPr>
              <w:t>参与虚拟仿真</w:t>
            </w:r>
            <w:r w:rsidRPr="002E3CB9">
              <w:rPr>
                <w:rFonts w:ascii="仿宋" w:eastAsia="仿宋" w:hAnsi="仿宋"/>
                <w:sz w:val="24"/>
              </w:rPr>
              <w:t>现场展示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E9C" w:rsidRDefault="004C7E9C" w:rsidP="006B5C9F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2E3CB9">
              <w:rPr>
                <w:rFonts w:ascii="仿宋" w:eastAsia="仿宋" w:hAnsi="仿宋"/>
                <w:sz w:val="24"/>
              </w:rPr>
              <w:t>标准展位：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proofErr w:type="gramStart"/>
            <w:r w:rsidRPr="002E3CB9">
              <w:rPr>
                <w:rFonts w:ascii="仿宋" w:eastAsia="仿宋" w:hAnsi="仿宋"/>
                <w:sz w:val="24"/>
              </w:rPr>
              <w:t>个</w:t>
            </w:r>
            <w:proofErr w:type="gramEnd"/>
            <w:r w:rsidRPr="002E3CB9">
              <w:rPr>
                <w:rFonts w:ascii="仿宋" w:eastAsia="仿宋" w:hAnsi="仿宋"/>
                <w:sz w:val="24"/>
              </w:rPr>
              <w:t>（4500 元 9 平方米）</w:t>
            </w:r>
          </w:p>
        </w:tc>
      </w:tr>
      <w:tr w:rsidR="004C7E9C" w:rsidTr="006B5C9F">
        <w:trPr>
          <w:trHeight w:val="558"/>
          <w:jc w:val="center"/>
        </w:trPr>
        <w:tc>
          <w:tcPr>
            <w:tcW w:w="1461" w:type="dxa"/>
            <w:gridSpan w:val="2"/>
            <w:vMerge/>
            <w:vAlign w:val="center"/>
          </w:tcPr>
          <w:p w:rsidR="004C7E9C" w:rsidRDefault="004C7E9C" w:rsidP="006B5C9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E9C" w:rsidRPr="002E3CB9" w:rsidRDefault="004C7E9C" w:rsidP="006B5C9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E3CB9">
              <w:rPr>
                <w:rFonts w:ascii="仿宋" w:eastAsia="仿宋" w:hAnsi="仿宋"/>
                <w:sz w:val="24"/>
              </w:rPr>
              <w:t>光地展位：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2E3CB9">
              <w:rPr>
                <w:rFonts w:ascii="仿宋" w:eastAsia="仿宋" w:hAnsi="仿宋"/>
                <w:sz w:val="24"/>
              </w:rPr>
              <w:t>平方米（600 元/平方米，27 平方米起定，9 倍数递增）</w:t>
            </w:r>
          </w:p>
        </w:tc>
      </w:tr>
      <w:tr w:rsidR="004C7E9C" w:rsidTr="006B5C9F">
        <w:trPr>
          <w:trHeight w:val="1337"/>
          <w:jc w:val="center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7E9C" w:rsidRDefault="004C7E9C" w:rsidP="006B5C9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E9C" w:rsidRPr="002E3CB9" w:rsidRDefault="004C7E9C" w:rsidP="006B5C9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E3CB9">
              <w:rPr>
                <w:rFonts w:ascii="仿宋" w:eastAsia="仿宋" w:hAnsi="仿宋" w:hint="eastAsia"/>
                <w:sz w:val="24"/>
              </w:rPr>
              <w:t>费用</w:t>
            </w:r>
            <w:r>
              <w:rPr>
                <w:rFonts w:ascii="仿宋" w:eastAsia="仿宋" w:hAnsi="仿宋" w:hint="eastAsia"/>
                <w:sz w:val="24"/>
              </w:rPr>
              <w:t>主要用途</w:t>
            </w:r>
            <w:r w:rsidRPr="002E3CB9">
              <w:rPr>
                <w:rFonts w:ascii="仿宋" w:eastAsia="仿宋" w:hAnsi="仿宋" w:hint="eastAsia"/>
                <w:sz w:val="24"/>
              </w:rPr>
              <w:t>：</w:t>
            </w:r>
            <w:r w:rsidRPr="002E3CB9">
              <w:rPr>
                <w:rFonts w:ascii="仿宋" w:eastAsia="仿宋" w:hAnsi="仿宋"/>
                <w:sz w:val="24"/>
              </w:rPr>
              <w:t xml:space="preserve"> </w:t>
            </w:r>
          </w:p>
          <w:p w:rsidR="004C7E9C" w:rsidRPr="002E3CB9" w:rsidRDefault="004C7E9C" w:rsidP="006B5C9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E3CB9">
              <w:rPr>
                <w:rFonts w:ascii="仿宋" w:eastAsia="仿宋" w:hAnsi="仿宋"/>
                <w:sz w:val="24"/>
              </w:rPr>
              <w:t xml:space="preserve">1）标准展位包含：1桌 2 椅、展位门楣、220V/5A 电源； </w:t>
            </w:r>
          </w:p>
          <w:p w:rsidR="004C7E9C" w:rsidRPr="002E3CB9" w:rsidRDefault="004C7E9C" w:rsidP="006B5C9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E3CB9">
              <w:rPr>
                <w:rFonts w:ascii="仿宋" w:eastAsia="仿宋" w:hAnsi="仿宋"/>
                <w:sz w:val="24"/>
              </w:rPr>
              <w:t>2）光地</w:t>
            </w:r>
            <w:proofErr w:type="gramStart"/>
            <w:r w:rsidRPr="002E3CB9">
              <w:rPr>
                <w:rFonts w:ascii="仿宋" w:eastAsia="仿宋" w:hAnsi="仿宋"/>
                <w:sz w:val="24"/>
              </w:rPr>
              <w:t>展位只</w:t>
            </w:r>
            <w:proofErr w:type="gramEnd"/>
            <w:r w:rsidRPr="002E3CB9">
              <w:rPr>
                <w:rFonts w:ascii="仿宋" w:eastAsia="仿宋" w:hAnsi="仿宋"/>
                <w:sz w:val="24"/>
              </w:rPr>
              <w:t>提供空地，2</w:t>
            </w:r>
            <w:r>
              <w:rPr>
                <w:rFonts w:ascii="仿宋" w:eastAsia="仿宋" w:hAnsi="仿宋"/>
                <w:sz w:val="24"/>
              </w:rPr>
              <w:t>7</w:t>
            </w:r>
            <w:r w:rsidRPr="002E3CB9">
              <w:rPr>
                <w:rFonts w:ascii="仿宋" w:eastAsia="仿宋" w:hAnsi="仿宋" w:hint="eastAsia"/>
                <w:sz w:val="24"/>
              </w:rPr>
              <w:t>平方米起定</w:t>
            </w:r>
            <w:r w:rsidRPr="002E3CB9">
              <w:rPr>
                <w:rFonts w:ascii="仿宋" w:eastAsia="仿宋" w:hAnsi="仿宋"/>
                <w:sz w:val="24"/>
              </w:rPr>
              <w:t>，需自行请搭建公司设计搭建。</w:t>
            </w:r>
          </w:p>
        </w:tc>
      </w:tr>
      <w:tr w:rsidR="004C7E9C" w:rsidTr="006B5C9F">
        <w:trPr>
          <w:trHeight w:val="1820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E9C" w:rsidRDefault="004C7E9C" w:rsidP="006B5C9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汇展收款单位：</w:t>
            </w:r>
          </w:p>
          <w:p w:rsidR="004C7E9C" w:rsidRDefault="004C7E9C" w:rsidP="006B5C9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账户名：北京中教仪国际会展有限公司</w:t>
            </w:r>
          </w:p>
          <w:p w:rsidR="004C7E9C" w:rsidRDefault="004C7E9C" w:rsidP="006B5C9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户：331156264797</w:t>
            </w:r>
          </w:p>
          <w:p w:rsidR="004C7E9C" w:rsidRDefault="004C7E9C" w:rsidP="006B5C9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开户行：中国银行北京金融中心支行</w:t>
            </w:r>
          </w:p>
        </w:tc>
      </w:tr>
      <w:tr w:rsidR="004C7E9C" w:rsidTr="006B5C9F">
        <w:trPr>
          <w:trHeight w:val="1550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</w:tcBorders>
            <w:vAlign w:val="center"/>
          </w:tcPr>
          <w:p w:rsidR="004C7E9C" w:rsidRDefault="004C7E9C" w:rsidP="006B5C9F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单位负责人签字：</w:t>
            </w:r>
          </w:p>
          <w:p w:rsidR="004C7E9C" w:rsidRDefault="004C7E9C" w:rsidP="006B5C9F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  <w:p w:rsidR="004C7E9C" w:rsidRDefault="004C7E9C" w:rsidP="006B5C9F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</w:p>
        </w:tc>
      </w:tr>
    </w:tbl>
    <w:p w:rsidR="004C7E9C" w:rsidRDefault="004C7E9C">
      <w:pPr>
        <w:rPr>
          <w:rFonts w:hint="eastAsia"/>
        </w:rPr>
      </w:pPr>
      <w:bookmarkStart w:id="9" w:name="_GoBack"/>
      <w:bookmarkEnd w:id="9"/>
    </w:p>
    <w:sectPr w:rsidR="004C7E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9C"/>
    <w:rsid w:val="004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3D3F"/>
  <w15:chartTrackingRefBased/>
  <w15:docId w15:val="{1E82C77D-06F8-486D-BBF8-313AA63E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E9C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0"/>
    <w:link w:val="2Char"/>
    <w:qFormat/>
    <w:rsid w:val="004C7E9C"/>
    <w:pPr>
      <w:tabs>
        <w:tab w:val="left" w:pos="576"/>
      </w:tabs>
      <w:suppressAutoHyphens/>
      <w:spacing w:before="60" w:after="60" w:line="360" w:lineRule="auto"/>
      <w:ind w:left="576" w:hanging="576"/>
      <w:outlineLvl w:val="1"/>
    </w:pPr>
    <w:rPr>
      <w:rFonts w:ascii="Times New Roman" w:eastAsia="宋体" w:hAnsi="Times New Roman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4C7E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4C7E9C"/>
    <w:rPr>
      <w:rFonts w:ascii="Times New Roman" w:eastAsia="宋体" w:hAnsi="Times New Roman" w:cs="Times New Roman"/>
      <w:b/>
      <w:bCs/>
      <w:sz w:val="32"/>
      <w:szCs w:val="32"/>
      <w:lang w:eastAsia="ar-SA"/>
    </w:rPr>
  </w:style>
  <w:style w:type="paragraph" w:customStyle="1" w:styleId="Style6">
    <w:name w:val="_Style 6"/>
    <w:basedOn w:val="a"/>
    <w:next w:val="a4"/>
    <w:uiPriority w:val="99"/>
    <w:qFormat/>
    <w:rsid w:val="004C7E9C"/>
    <w:pPr>
      <w:ind w:firstLineChars="200" w:firstLine="420"/>
    </w:pPr>
    <w:rPr>
      <w:rFonts w:ascii="Calibri" w:eastAsia="宋体" w:hAnsi="Calibri"/>
    </w:rPr>
  </w:style>
  <w:style w:type="paragraph" w:styleId="a5">
    <w:basedOn w:val="a"/>
    <w:next w:val="a4"/>
    <w:uiPriority w:val="99"/>
    <w:qFormat/>
    <w:rsid w:val="004C7E9C"/>
    <w:pPr>
      <w:ind w:firstLineChars="200" w:firstLine="420"/>
    </w:pPr>
    <w:rPr>
      <w:rFonts w:ascii="Calibri" w:eastAsia="宋体" w:hAnsi="Calibri"/>
    </w:rPr>
  </w:style>
  <w:style w:type="paragraph" w:styleId="a0">
    <w:name w:val="Body Text"/>
    <w:basedOn w:val="a"/>
    <w:link w:val="a6"/>
    <w:uiPriority w:val="99"/>
    <w:semiHidden/>
    <w:unhideWhenUsed/>
    <w:rsid w:val="004C7E9C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4C7E9C"/>
    <w:rPr>
      <w:rFonts w:ascii="等线" w:eastAsia="等线" w:hAnsi="等线" w:cs="Times New Roman"/>
    </w:rPr>
  </w:style>
  <w:style w:type="paragraph" w:styleId="a4">
    <w:name w:val="List Paragraph"/>
    <w:basedOn w:val="a"/>
    <w:uiPriority w:val="34"/>
    <w:qFormat/>
    <w:rsid w:val="004C7E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2019-04-12T02:40:00Z</dcterms:created>
  <dcterms:modified xsi:type="dcterms:W3CDTF">2019-04-12T02:40:00Z</dcterms:modified>
</cp:coreProperties>
</file>